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62525" cy="1666875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666875"/>
                          <a:chExt cx="4962525" cy="166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6668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666862"/>
                                </a:lnTo>
                                <a:lnTo>
                                  <a:pt x="4962512" y="16668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666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66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w w:val="130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15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-4"/>
                                  <w:w w:val="130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81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8B3C4A"/>
                                  <w:w w:val="125"/>
                                  <w:sz w:val="22"/>
                                </w:rPr>
                                <w:t>Residential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w w:val="125"/>
                                  <w:sz w:val="22"/>
                                </w:rPr>
                                <w:t>Real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w w:val="125"/>
                                  <w:sz w:val="22"/>
                                </w:rPr>
                                <w:t>Estate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spacing w:val="-2"/>
                                  <w:w w:val="125"/>
                                  <w:sz w:val="22"/>
                                </w:rPr>
                                <w:t>Agent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31.25pt;mso-position-horizontal-relative:char;mso-position-vertical-relative:line" id="docshapegroup1" coordorigin="0,0" coordsize="7815,2625">
                <v:shape style="position:absolute;left:0;top:0;width:7815;height:2625" id="docshape2" coordorigin="0,0" coordsize="7815,2625" path="m7815,0l0,0,0,510,0,2625,7815,2625,7815,510,7815,0xe" filled="true" fillcolor="#8b3c4a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62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66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8B3C4A"/>
                            <w:w w:val="130"/>
                            <w:sz w:val="37"/>
                          </w:rPr>
                          <w:t>Logan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15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-4"/>
                            <w:w w:val="130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81"/>
                          <w:ind w:left="1338" w:right="0" w:firstLine="0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8B3C4A"/>
                            <w:w w:val="125"/>
                            <w:sz w:val="22"/>
                          </w:rPr>
                          <w:t>Residential</w:t>
                        </w:r>
                        <w:r>
                          <w:rPr>
                            <w:rFonts w:ascii="Calibri"/>
                            <w:color w:val="8B3C4A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8B3C4A"/>
                            <w:w w:val="125"/>
                            <w:sz w:val="22"/>
                          </w:rPr>
                          <w:t>Real</w:t>
                        </w:r>
                        <w:r>
                          <w:rPr>
                            <w:rFonts w:ascii="Calibri"/>
                            <w:color w:val="8B3C4A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8B3C4A"/>
                            <w:w w:val="125"/>
                            <w:sz w:val="22"/>
                          </w:rPr>
                          <w:t>Estate</w:t>
                        </w:r>
                        <w:r>
                          <w:rPr>
                            <w:rFonts w:ascii="Calibri"/>
                            <w:color w:val="8B3C4A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8B3C4A"/>
                            <w:spacing w:val="-2"/>
                            <w:w w:val="125"/>
                            <w:sz w:val="22"/>
                          </w:rPr>
                          <w:t>Agent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9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0" w:right="780"/>
        </w:sectPr>
      </w:pPr>
    </w:p>
    <w:p>
      <w:pPr>
        <w:spacing w:line="280" w:lineRule="auto" w:before="104"/>
        <w:ind w:left="1338" w:right="0" w:firstLine="0"/>
        <w:jc w:val="left"/>
        <w:rPr>
          <w:b/>
          <w:sz w:val="22"/>
        </w:rPr>
      </w:pPr>
      <w:r>
        <w:rPr>
          <w:b/>
          <w:color w:val="8B3C4A"/>
          <w:w w:val="105"/>
          <w:sz w:val="22"/>
        </w:rPr>
        <w:t>Experienced</w:t>
      </w:r>
      <w:r>
        <w:rPr>
          <w:b/>
          <w:color w:val="8B3C4A"/>
          <w:spacing w:val="-15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Residential</w:t>
      </w:r>
      <w:r>
        <w:rPr>
          <w:b/>
          <w:color w:val="8B3C4A"/>
          <w:spacing w:val="-29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Agent</w:t>
      </w:r>
      <w:r>
        <w:rPr>
          <w:b/>
          <w:color w:val="8B3C4A"/>
          <w:spacing w:val="-22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with</w:t>
      </w:r>
      <w:r>
        <w:rPr>
          <w:b/>
          <w:color w:val="8B3C4A"/>
          <w:spacing w:val="-15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strong</w:t>
      </w:r>
      <w:r>
        <w:rPr>
          <w:b/>
          <w:color w:val="8B3C4A"/>
          <w:spacing w:val="-15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neighborhood </w:t>
      </w:r>
      <w:r>
        <w:rPr>
          <w:b/>
          <w:color w:val="8B3C4A"/>
          <w:spacing w:val="-2"/>
          <w:w w:val="105"/>
          <w:sz w:val="22"/>
        </w:rPr>
        <w:t>insights</w:t>
      </w:r>
    </w:p>
    <w:p>
      <w:pPr>
        <w:spacing w:line="278" w:lineRule="auto" w:before="107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0</wp:posOffset>
                </wp:positionH>
                <wp:positionV relativeFrom="paragraph">
                  <wp:posOffset>1475529</wp:posOffset>
                </wp:positionV>
                <wp:extent cx="4962525" cy="23812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B3C4A"/>
                                <w:w w:val="12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10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-2"/>
                                <w:w w:val="12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6.183395pt;width:390.75pt;height:18.75pt;mso-position-horizontal-relative:page;mso-position-vertical-relative:paragraph;z-index:15735296" type="#_x0000_t202" id="docshape4" filled="true" fillcolor="#8b3c4a" stroked="false"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8B3C4A"/>
                          <w:w w:val="12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8B3C4A"/>
                          <w:spacing w:val="10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8B3C4A"/>
                          <w:spacing w:val="-2"/>
                          <w:w w:val="125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8B3C4A"/>
          <w:w w:val="105"/>
          <w:sz w:val="22"/>
        </w:rPr>
        <w:t>Residential</w:t>
      </w:r>
      <w:r>
        <w:rPr>
          <w:b/>
          <w:color w:val="8B3C4A"/>
          <w:spacing w:val="-6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Real</w:t>
      </w:r>
      <w:r>
        <w:rPr>
          <w:b/>
          <w:color w:val="8B3C4A"/>
          <w:spacing w:val="-6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Estate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Agent</w:t>
      </w:r>
      <w:r>
        <w:rPr>
          <w:b/>
          <w:color w:val="8B3C4A"/>
          <w:spacing w:val="-6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with over</w:t>
      </w:r>
      <w:r>
        <w:rPr>
          <w:b/>
          <w:color w:val="8B3C4A"/>
          <w:spacing w:val="-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seven</w:t>
      </w:r>
      <w:r>
        <w:rPr>
          <w:b/>
          <w:color w:val="8B3C4A"/>
          <w:spacing w:val="-6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years of experience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helping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families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buy</w:t>
      </w:r>
      <w:r>
        <w:rPr>
          <w:b/>
          <w:color w:val="8B3C4A"/>
          <w:spacing w:val="-1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and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sell</w:t>
      </w:r>
      <w:r>
        <w:rPr>
          <w:b/>
          <w:color w:val="8B3C4A"/>
          <w:spacing w:val="-1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homes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in</w:t>
      </w:r>
      <w:r>
        <w:rPr>
          <w:b/>
          <w:color w:val="8B3C4A"/>
          <w:spacing w:val="-7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fast- moving suburban markets. Skilled in managing buyer </w:t>
      </w:r>
      <w:r>
        <w:rPr>
          <w:b/>
          <w:color w:val="8B3C4A"/>
          <w:spacing w:val="-2"/>
          <w:w w:val="105"/>
          <w:sz w:val="22"/>
        </w:rPr>
        <w:t>expectations,</w:t>
      </w:r>
      <w:r>
        <w:rPr>
          <w:b/>
          <w:color w:val="8B3C4A"/>
          <w:spacing w:val="-5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coordinating</w:t>
      </w:r>
      <w:r>
        <w:rPr>
          <w:b/>
          <w:color w:val="8B3C4A"/>
          <w:spacing w:val="-5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inspections,</w:t>
      </w:r>
      <w:r>
        <w:rPr>
          <w:b/>
          <w:color w:val="8B3C4A"/>
          <w:spacing w:val="-5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and</w:t>
      </w:r>
      <w:r>
        <w:rPr>
          <w:b/>
          <w:color w:val="8B3C4A"/>
          <w:spacing w:val="-5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negotiating </w:t>
      </w:r>
      <w:r>
        <w:rPr>
          <w:b/>
          <w:color w:val="8B3C4A"/>
          <w:w w:val="105"/>
          <w:sz w:val="22"/>
        </w:rPr>
        <w:t>on behalf</w:t>
      </w:r>
      <w:r>
        <w:rPr>
          <w:b/>
          <w:color w:val="8B3C4A"/>
          <w:spacing w:val="-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of</w:t>
      </w:r>
      <w:r>
        <w:rPr>
          <w:b/>
          <w:color w:val="8B3C4A"/>
          <w:spacing w:val="-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clients. Known for</w:t>
      </w:r>
      <w:r>
        <w:rPr>
          <w:b/>
          <w:color w:val="8B3C4A"/>
          <w:spacing w:val="-4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creating community- specific listing strategies that drive high engagement.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0"/>
        <w:rPr>
          <w:b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B3C4A"/>
          <w:w w:val="130"/>
          <w:sz w:val="18"/>
        </w:rPr>
        <w:t>Residential</w:t>
      </w:r>
      <w:r>
        <w:rPr>
          <w:rFonts w:ascii="Calibri"/>
          <w:b/>
          <w:color w:val="8B3C4A"/>
          <w:spacing w:val="-5"/>
          <w:w w:val="130"/>
          <w:sz w:val="18"/>
        </w:rPr>
        <w:t> </w:t>
      </w:r>
      <w:r>
        <w:rPr>
          <w:rFonts w:ascii="Calibri"/>
          <w:b/>
          <w:color w:val="8B3C4A"/>
          <w:spacing w:val="-2"/>
          <w:w w:val="130"/>
          <w:sz w:val="18"/>
        </w:rPr>
        <w:t>Agent</w:t>
      </w:r>
    </w:p>
    <w:p>
      <w:pPr>
        <w:tabs>
          <w:tab w:pos="5494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spacing w:val="-6"/>
          <w:sz w:val="22"/>
        </w:rPr>
        <w:t>Berkshire</w:t>
      </w:r>
      <w:r>
        <w:rPr>
          <w:i/>
          <w:color w:val="8B3C4A"/>
          <w:spacing w:val="-7"/>
          <w:sz w:val="22"/>
        </w:rPr>
        <w:t> </w:t>
      </w:r>
      <w:r>
        <w:rPr>
          <w:i/>
          <w:color w:val="8B3C4A"/>
          <w:spacing w:val="-6"/>
          <w:sz w:val="22"/>
        </w:rPr>
        <w:t>Realty,</w:t>
      </w:r>
      <w:r>
        <w:rPr>
          <w:i/>
          <w:color w:val="8B3C4A"/>
          <w:spacing w:val="-14"/>
          <w:sz w:val="22"/>
        </w:rPr>
        <w:t> </w:t>
      </w:r>
      <w:r>
        <w:rPr>
          <w:i/>
          <w:color w:val="8B3C4A"/>
          <w:spacing w:val="-6"/>
          <w:sz w:val="22"/>
        </w:rPr>
        <w:t>Austin,</w:t>
      </w:r>
      <w:r>
        <w:rPr>
          <w:i/>
          <w:color w:val="8B3C4A"/>
          <w:spacing w:val="-14"/>
          <w:sz w:val="22"/>
        </w:rPr>
        <w:t> </w:t>
      </w:r>
      <w:r>
        <w:rPr>
          <w:i/>
          <w:color w:val="8B3C4A"/>
          <w:spacing w:val="-6"/>
          <w:sz w:val="22"/>
        </w:rPr>
        <w:t>TX</w:t>
      </w:r>
      <w:r>
        <w:rPr>
          <w:i/>
          <w:color w:val="8B3C4A"/>
          <w:sz w:val="22"/>
        </w:rPr>
        <w:tab/>
        <w:t>April</w:t>
      </w:r>
      <w:r>
        <w:rPr>
          <w:i/>
          <w:color w:val="8B3C4A"/>
          <w:spacing w:val="-17"/>
          <w:sz w:val="22"/>
        </w:rPr>
        <w:t> </w:t>
      </w:r>
      <w:r>
        <w:rPr>
          <w:i/>
          <w:color w:val="8B3C4A"/>
          <w:sz w:val="22"/>
        </w:rPr>
        <w:t>2020</w:t>
      </w:r>
      <w:r>
        <w:rPr>
          <w:i/>
          <w:color w:val="8B3C4A"/>
          <w:spacing w:val="-12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pacing w:val="-12"/>
          <w:sz w:val="22"/>
        </w:rPr>
        <w:t> </w:t>
      </w:r>
      <w:r>
        <w:rPr>
          <w:i/>
          <w:color w:val="8B3C4A"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50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8B3C4A"/>
        </w:rPr>
        <w:t>Closed</w:t>
      </w:r>
      <w:r>
        <w:rPr>
          <w:color w:val="8B3C4A"/>
          <w:spacing w:val="6"/>
        </w:rPr>
        <w:t> </w:t>
      </w:r>
      <w:r>
        <w:rPr>
          <w:color w:val="8B3C4A"/>
        </w:rPr>
        <w:t>42</w:t>
      </w:r>
      <w:r>
        <w:rPr>
          <w:color w:val="8B3C4A"/>
          <w:spacing w:val="7"/>
        </w:rPr>
        <w:t> </w:t>
      </w:r>
      <w:r>
        <w:rPr>
          <w:color w:val="8B3C4A"/>
        </w:rPr>
        <w:t>residential</w:t>
      </w:r>
      <w:r>
        <w:rPr>
          <w:color w:val="8B3C4A"/>
          <w:spacing w:val="-2"/>
        </w:rPr>
        <w:t> </w:t>
      </w:r>
      <w:r>
        <w:rPr>
          <w:color w:val="8B3C4A"/>
        </w:rPr>
        <w:t>transactions</w:t>
      </w:r>
      <w:r>
        <w:rPr>
          <w:color w:val="8B3C4A"/>
          <w:spacing w:val="7"/>
        </w:rPr>
        <w:t> </w:t>
      </w:r>
      <w:r>
        <w:rPr>
          <w:color w:val="8B3C4A"/>
        </w:rPr>
        <w:t>in</w:t>
      </w:r>
      <w:r>
        <w:rPr>
          <w:color w:val="8B3C4A"/>
          <w:spacing w:val="7"/>
        </w:rPr>
        <w:t> </w:t>
      </w:r>
      <w:r>
        <w:rPr>
          <w:color w:val="8B3C4A"/>
        </w:rPr>
        <w:t>2023,</w:t>
      </w:r>
      <w:r>
        <w:rPr>
          <w:color w:val="8B3C4A"/>
          <w:spacing w:val="7"/>
        </w:rPr>
        <w:t> </w:t>
      </w:r>
      <w:r>
        <w:rPr>
          <w:color w:val="8B3C4A"/>
          <w:spacing w:val="-2"/>
        </w:rPr>
        <w:t>totaling</w:t>
      </w:r>
    </w:p>
    <w:p>
      <w:pPr>
        <w:pStyle w:val="BodyText"/>
        <w:spacing w:before="44"/>
        <w:ind w:left="1710"/>
      </w:pPr>
      <w:r>
        <w:rPr>
          <w:color w:val="8B3C4A"/>
        </w:rPr>
        <w:t>$14.3M</w:t>
      </w:r>
      <w:r>
        <w:rPr>
          <w:color w:val="8B3C4A"/>
          <w:spacing w:val="-11"/>
        </w:rPr>
        <w:t> </w:t>
      </w:r>
      <w:r>
        <w:rPr>
          <w:color w:val="8B3C4A"/>
        </w:rPr>
        <w:t>in</w:t>
      </w:r>
      <w:r>
        <w:rPr>
          <w:color w:val="8B3C4A"/>
          <w:spacing w:val="-10"/>
        </w:rPr>
        <w:t> </w:t>
      </w:r>
      <w:r>
        <w:rPr>
          <w:color w:val="8B3C4A"/>
          <w:spacing w:val="-2"/>
        </w:rPr>
        <w:t>sales</w:t>
      </w:r>
    </w:p>
    <w:p>
      <w:pPr>
        <w:pStyle w:val="BodyText"/>
        <w:tabs>
          <w:tab w:pos="1710" w:val="left" w:leader="none"/>
        </w:tabs>
        <w:spacing w:line="280" w:lineRule="auto" w:before="135"/>
        <w:ind w:left="1710" w:right="180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8B3C4A"/>
          <w:w w:val="105"/>
        </w:rPr>
        <w:t>Maintained</w:t>
      </w:r>
      <w:r>
        <w:rPr>
          <w:color w:val="8B3C4A"/>
          <w:spacing w:val="-18"/>
          <w:w w:val="105"/>
        </w:rPr>
        <w:t> </w:t>
      </w:r>
      <w:r>
        <w:rPr>
          <w:color w:val="8B3C4A"/>
          <w:w w:val="105"/>
        </w:rPr>
        <w:t>average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days</w:t>
      </w:r>
      <w:r>
        <w:rPr>
          <w:color w:val="8B3C4A"/>
          <w:spacing w:val="-18"/>
          <w:w w:val="105"/>
        </w:rPr>
        <w:t> </w:t>
      </w:r>
      <w:r>
        <w:rPr>
          <w:color w:val="8B3C4A"/>
          <w:w w:val="105"/>
        </w:rPr>
        <w:t>on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market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under</w:t>
      </w:r>
      <w:r>
        <w:rPr>
          <w:color w:val="8B3C4A"/>
          <w:spacing w:val="-19"/>
          <w:w w:val="105"/>
        </w:rPr>
        <w:t> </w:t>
      </w:r>
      <w:r>
        <w:rPr>
          <w:color w:val="8B3C4A"/>
          <w:w w:val="105"/>
        </w:rPr>
        <w:t>21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for</w:t>
      </w:r>
      <w:r>
        <w:rPr>
          <w:color w:val="8B3C4A"/>
          <w:spacing w:val="-19"/>
          <w:w w:val="105"/>
        </w:rPr>
        <w:t> </w:t>
      </w:r>
      <w:r>
        <w:rPr>
          <w:color w:val="8B3C4A"/>
          <w:w w:val="105"/>
        </w:rPr>
        <w:t>listed </w:t>
      </w:r>
      <w:r>
        <w:rPr>
          <w:color w:val="8B3C4A"/>
          <w:spacing w:val="-2"/>
          <w:w w:val="105"/>
        </w:rPr>
        <w:t>homes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1101" w:hanging="346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8B3C4A"/>
          <w:w w:val="105"/>
        </w:rPr>
        <w:t>Increased</w:t>
      </w:r>
      <w:r>
        <w:rPr>
          <w:color w:val="8B3C4A"/>
          <w:spacing w:val="-10"/>
          <w:w w:val="105"/>
        </w:rPr>
        <w:t> </w:t>
      </w:r>
      <w:r>
        <w:rPr>
          <w:color w:val="8B3C4A"/>
          <w:w w:val="105"/>
        </w:rPr>
        <w:t>referral</w:t>
      </w:r>
      <w:r>
        <w:rPr>
          <w:color w:val="8B3C4A"/>
          <w:spacing w:val="-18"/>
          <w:w w:val="105"/>
        </w:rPr>
        <w:t> </w:t>
      </w:r>
      <w:r>
        <w:rPr>
          <w:color w:val="8B3C4A"/>
          <w:w w:val="105"/>
        </w:rPr>
        <w:t>leads</w:t>
      </w:r>
      <w:r>
        <w:rPr>
          <w:color w:val="8B3C4A"/>
          <w:spacing w:val="-10"/>
          <w:w w:val="105"/>
        </w:rPr>
        <w:t> </w:t>
      </w:r>
      <w:r>
        <w:rPr>
          <w:color w:val="8B3C4A"/>
          <w:w w:val="105"/>
        </w:rPr>
        <w:t>by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30%</w:t>
      </w:r>
      <w:r>
        <w:rPr>
          <w:color w:val="8B3C4A"/>
          <w:spacing w:val="-10"/>
          <w:w w:val="105"/>
        </w:rPr>
        <w:t> </w:t>
      </w:r>
      <w:r>
        <w:rPr>
          <w:color w:val="8B3C4A"/>
          <w:w w:val="105"/>
        </w:rPr>
        <w:t>through</w:t>
      </w:r>
      <w:r>
        <w:rPr>
          <w:color w:val="8B3C4A"/>
          <w:spacing w:val="-10"/>
          <w:w w:val="105"/>
        </w:rPr>
        <w:t> </w:t>
      </w:r>
      <w:r>
        <w:rPr>
          <w:color w:val="8B3C4A"/>
          <w:w w:val="105"/>
        </w:rPr>
        <w:t>local networking and post-closing follow-ups</w:t>
      </w:r>
    </w:p>
    <w:p>
      <w:pPr>
        <w:spacing w:before="233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B3C4A"/>
          <w:w w:val="130"/>
          <w:sz w:val="18"/>
        </w:rPr>
        <w:t>Realtor</w:t>
      </w:r>
      <w:r>
        <w:rPr>
          <w:rFonts w:ascii="Calibri"/>
          <w:b/>
          <w:color w:val="8B3C4A"/>
          <w:spacing w:val="-13"/>
          <w:w w:val="130"/>
          <w:sz w:val="18"/>
        </w:rPr>
        <w:t> </w:t>
      </w:r>
      <w:r>
        <w:rPr>
          <w:rFonts w:ascii="Calibri"/>
          <w:b/>
          <w:color w:val="8B3C4A"/>
          <w:spacing w:val="-2"/>
          <w:w w:val="130"/>
          <w:sz w:val="18"/>
        </w:rPr>
        <w:t>Associate</w:t>
      </w:r>
    </w:p>
    <w:p>
      <w:pPr>
        <w:tabs>
          <w:tab w:pos="5131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sz w:val="22"/>
        </w:rPr>
        <w:t>Magnolia</w:t>
      </w:r>
      <w:r>
        <w:rPr>
          <w:i/>
          <w:color w:val="8B3C4A"/>
          <w:spacing w:val="-10"/>
          <w:sz w:val="22"/>
        </w:rPr>
        <w:t> </w:t>
      </w:r>
      <w:r>
        <w:rPr>
          <w:i/>
          <w:color w:val="8B3C4A"/>
          <w:sz w:val="22"/>
        </w:rPr>
        <w:t>Homes,</w:t>
      </w:r>
      <w:r>
        <w:rPr>
          <w:i/>
          <w:color w:val="8B3C4A"/>
          <w:spacing w:val="-15"/>
          <w:sz w:val="22"/>
        </w:rPr>
        <w:t> </w:t>
      </w:r>
      <w:r>
        <w:rPr>
          <w:i/>
          <w:color w:val="8B3C4A"/>
          <w:sz w:val="22"/>
        </w:rPr>
        <w:t>Austin,</w:t>
      </w:r>
      <w:r>
        <w:rPr>
          <w:i/>
          <w:color w:val="8B3C4A"/>
          <w:spacing w:val="-17"/>
          <w:sz w:val="22"/>
        </w:rPr>
        <w:t> </w:t>
      </w:r>
      <w:r>
        <w:rPr>
          <w:i/>
          <w:color w:val="8B3C4A"/>
          <w:spacing w:val="-5"/>
          <w:sz w:val="22"/>
        </w:rPr>
        <w:t>TX</w:t>
      </w:r>
      <w:r>
        <w:rPr>
          <w:i/>
          <w:color w:val="8B3C4A"/>
          <w:sz w:val="22"/>
        </w:rPr>
        <w:tab/>
        <w:t>May</w:t>
      </w:r>
      <w:r>
        <w:rPr>
          <w:i/>
          <w:color w:val="8B3C4A"/>
          <w:spacing w:val="-3"/>
          <w:sz w:val="22"/>
        </w:rPr>
        <w:t> </w:t>
      </w:r>
      <w:r>
        <w:rPr>
          <w:i/>
          <w:color w:val="8B3C4A"/>
          <w:sz w:val="22"/>
        </w:rPr>
        <w:t>2017</w:t>
      </w:r>
      <w:r>
        <w:rPr>
          <w:i/>
          <w:color w:val="8B3C4A"/>
          <w:spacing w:val="3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pacing w:val="3"/>
          <w:sz w:val="22"/>
        </w:rPr>
        <w:t> </w:t>
      </w:r>
      <w:r>
        <w:rPr>
          <w:i/>
          <w:color w:val="8B3C4A"/>
          <w:sz w:val="22"/>
        </w:rPr>
        <w:t>March</w:t>
      </w:r>
      <w:r>
        <w:rPr>
          <w:i/>
          <w:color w:val="8B3C4A"/>
          <w:spacing w:val="3"/>
          <w:sz w:val="22"/>
        </w:rPr>
        <w:t> </w:t>
      </w:r>
      <w:r>
        <w:rPr>
          <w:i/>
          <w:color w:val="8B3C4A"/>
          <w:spacing w:val="-4"/>
          <w:sz w:val="22"/>
        </w:rPr>
        <w:t>2020</w:t>
      </w:r>
    </w:p>
    <w:p>
      <w:pPr>
        <w:pStyle w:val="BodyText"/>
        <w:tabs>
          <w:tab w:pos="1710" w:val="left" w:leader="none"/>
        </w:tabs>
        <w:spacing w:line="280" w:lineRule="auto" w:before="149"/>
        <w:ind w:left="1710" w:right="447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8B3C4A"/>
          <w:w w:val="105"/>
        </w:rPr>
        <w:t>Supported</w:t>
      </w:r>
      <w:r>
        <w:rPr>
          <w:color w:val="8B3C4A"/>
          <w:spacing w:val="-6"/>
          <w:w w:val="105"/>
        </w:rPr>
        <w:t> </w:t>
      </w:r>
      <w:r>
        <w:rPr>
          <w:color w:val="8B3C4A"/>
          <w:w w:val="105"/>
        </w:rPr>
        <w:t>first-time</w:t>
      </w:r>
      <w:r>
        <w:rPr>
          <w:color w:val="8B3C4A"/>
          <w:spacing w:val="-6"/>
          <w:w w:val="105"/>
        </w:rPr>
        <w:t> </w:t>
      </w:r>
      <w:r>
        <w:rPr>
          <w:color w:val="8B3C4A"/>
          <w:w w:val="105"/>
        </w:rPr>
        <w:t>buyers</w:t>
      </w:r>
      <w:r>
        <w:rPr>
          <w:color w:val="8B3C4A"/>
          <w:spacing w:val="-6"/>
          <w:w w:val="105"/>
        </w:rPr>
        <w:t> </w:t>
      </w:r>
      <w:r>
        <w:rPr>
          <w:color w:val="8B3C4A"/>
          <w:w w:val="105"/>
        </w:rPr>
        <w:t>through</w:t>
      </w:r>
      <w:r>
        <w:rPr>
          <w:color w:val="8B3C4A"/>
          <w:spacing w:val="-6"/>
          <w:w w:val="105"/>
        </w:rPr>
        <w:t> </w:t>
      </w:r>
      <w:r>
        <w:rPr>
          <w:color w:val="8B3C4A"/>
          <w:w w:val="105"/>
        </w:rPr>
        <w:t>mortgage</w:t>
      </w:r>
      <w:r>
        <w:rPr>
          <w:color w:val="8B3C4A"/>
          <w:spacing w:val="-6"/>
          <w:w w:val="105"/>
        </w:rPr>
        <w:t> </w:t>
      </w:r>
      <w:r>
        <w:rPr>
          <w:color w:val="8B3C4A"/>
          <w:w w:val="105"/>
        </w:rPr>
        <w:t>pre- approval and closing</w:t>
      </w:r>
    </w:p>
    <w:p>
      <w:pPr>
        <w:pStyle w:val="BodyText"/>
        <w:tabs>
          <w:tab w:pos="1710" w:val="left" w:leader="none"/>
        </w:tabs>
        <w:spacing w:line="280" w:lineRule="auto" w:before="93"/>
        <w:ind w:left="1710" w:right="500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8B3C4A"/>
          <w:w w:val="105"/>
        </w:rPr>
        <w:t>Managed contracts and document submissions for multi-offer</w:t>
      </w:r>
      <w:r>
        <w:rPr>
          <w:color w:val="8B3C4A"/>
          <w:spacing w:val="-8"/>
          <w:w w:val="105"/>
        </w:rPr>
        <w:t> </w:t>
      </w:r>
      <w:r>
        <w:rPr>
          <w:color w:val="8B3C4A"/>
          <w:w w:val="105"/>
        </w:rPr>
        <w:t>transactions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38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8B3C4A"/>
          <w:w w:val="105"/>
        </w:rPr>
        <w:t>Conducted home value assessments to guide seller pricing decisions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BodyText"/>
        <w:ind w:left="1038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5410200</wp:posOffset>
            </wp:positionH>
            <wp:positionV relativeFrom="paragraph">
              <wp:posOffset>-1782969</wp:posOffset>
            </wp:positionV>
            <wp:extent cx="1295399" cy="129539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90"/>
        <w:ind w:left="1038"/>
      </w:pPr>
      <w:r>
        <w:rPr>
          <w:color w:val="FFFFFF"/>
          <w:spacing w:val="-4"/>
        </w:rPr>
        <w:t>(555)</w:t>
      </w:r>
      <w:r>
        <w:rPr>
          <w:color w:val="FFFFFF"/>
        </w:rPr>
        <w:t> </w:t>
      </w:r>
      <w:r>
        <w:rPr>
          <w:color w:val="FFFFFF"/>
          <w:spacing w:val="-4"/>
        </w:rPr>
        <w:t>812-4455</w:t>
      </w:r>
    </w:p>
    <w:p>
      <w:pPr>
        <w:pStyle w:val="BodyText"/>
        <w:spacing w:before="104"/>
        <w:ind w:left="1038"/>
      </w:pPr>
      <w:hyperlink r:id="rId8">
        <w:r>
          <w:rPr>
            <w:color w:val="FFFFFF"/>
            <w:spacing w:val="-2"/>
          </w:rPr>
          <w:t>loganhall@email.com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213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3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5410199</wp:posOffset>
                </wp:positionH>
                <wp:positionV relativeFrom="paragraph">
                  <wp:posOffset>365249</wp:posOffset>
                </wp:positionV>
                <wp:extent cx="1695450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28.759813pt;width:133.5pt;height:9.75pt;mso-position-horizontal-relative:page;mso-position-vertical-relative:paragraph;z-index:15730176" id="docshapegroup5" coordorigin="8520,575" coordsize="2670,195">
                <v:rect style="position:absolute;left:8527;top:582;width:2655;height:180" id="docshape6" filled="false" stroked="true" strokeweight=".75pt" strokecolor="#ffffff">
                  <v:stroke dashstyle="solid"/>
                </v:rect>
                <v:rect style="position:absolute;left:8535;top:590;width:2640;height:180" id="docshape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Application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processing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spacing w:line="280" w:lineRule="auto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5410199</wp:posOffset>
                </wp:positionH>
                <wp:positionV relativeFrom="paragraph">
                  <wp:posOffset>407573</wp:posOffset>
                </wp:positionV>
                <wp:extent cx="1695450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2.092426pt;width:133.5pt;height:9.75pt;mso-position-horizontal-relative:page;mso-position-vertical-relative:paragraph;z-index:15730688" id="docshapegroup8" coordorigin="8520,642" coordsize="2670,195">
                <v:rect style="position:absolute;left:8527;top:649;width:2655;height:180" id="docshape9" filled="false" stroked="true" strokeweight=".75pt" strokecolor="#ffffff">
                  <v:stroke dashstyle="solid"/>
                </v:rect>
                <v:rect style="position:absolute;left:8535;top:656;width:2115;height:180" id="docshape10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CRM systems (AppFolio, </w:t>
      </w:r>
      <w:r>
        <w:rPr>
          <w:color w:val="FFFFFF"/>
          <w:spacing w:val="-2"/>
          <w:w w:val="105"/>
        </w:rPr>
        <w:t>Yardi)</w:t>
      </w:r>
    </w:p>
    <w:p>
      <w:pPr>
        <w:pStyle w:val="BodyText"/>
        <w:spacing w:before="227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5410199</wp:posOffset>
                </wp:positionH>
                <wp:positionV relativeFrom="paragraph">
                  <wp:posOffset>216946</wp:posOffset>
                </wp:positionV>
                <wp:extent cx="1695450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7.082405pt;width:133.5pt;height:9.75pt;mso-position-horizontal-relative:page;mso-position-vertical-relative:paragraph;z-index:15731200" id="docshapegroup11" coordorigin="8520,342" coordsize="2670,195">
                <v:rect style="position:absolute;left:8527;top:349;width:2655;height:180" id="docshape12" filled="false" stroked="true" strokeweight=".75pt" strokecolor="#ffffff">
                  <v:stroke dashstyle="solid"/>
                </v:rect>
                <v:rect style="position:absolute;left:8535;top:356;width:2115;height:180" id="docshape13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Fair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housing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5410199</wp:posOffset>
                </wp:positionH>
                <wp:positionV relativeFrom="paragraph">
                  <wp:posOffset>217360</wp:posOffset>
                </wp:positionV>
                <wp:extent cx="1695450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7.115019pt;width:133.5pt;height:9.75pt;mso-position-horizontal-relative:page;mso-position-vertical-relative:paragraph;z-index:15731712" id="docshapegroup14" coordorigin="8520,342" coordsize="2670,195">
                <v:rect style="position:absolute;left:8527;top:349;width:2655;height:180" id="docshape15" filled="false" stroked="true" strokeweight=".75pt" strokecolor="#ffffff">
                  <v:stroke dashstyle="solid"/>
                </v:rect>
                <v:rect style="position:absolute;left:8535;top:357;width:1590;height:180" id="docshape1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Lease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negotiation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5410199</wp:posOffset>
                </wp:positionH>
                <wp:positionV relativeFrom="paragraph">
                  <wp:posOffset>217139</wp:posOffset>
                </wp:positionV>
                <wp:extent cx="1695450" cy="1238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7.097631pt;width:133.5pt;height:9.75pt;mso-position-horizontal-relative:page;mso-position-vertical-relative:paragraph;z-index:15732224" id="docshapegroup17" coordorigin="8520,342" coordsize="2670,195">
                <v:rect style="position:absolute;left:8527;top:349;width:2655;height:180" id="docshape18" filled="false" stroked="true" strokeweight=".75pt" strokecolor="#ffffff">
                  <v:stroke dashstyle="solid"/>
                </v:rect>
                <v:rect style="position:absolute;left:8535;top:356;width:1590;height:180" id="docshape19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Lead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5410199</wp:posOffset>
                </wp:positionH>
                <wp:positionV relativeFrom="paragraph">
                  <wp:posOffset>226444</wp:posOffset>
                </wp:positionV>
                <wp:extent cx="1695450" cy="1143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7.830246pt;width:133.5pt;height:9pt;mso-position-horizontal-relative:page;mso-position-vertical-relative:paragraph;z-index:15732736" id="docshapegroup20" coordorigin="8520,357" coordsize="2670,180">
                <v:rect style="position:absolute;left:8527;top:364;width:2655;height:165" id="docshape21" filled="false" stroked="true" strokeweight=".75pt" strokecolor="#ffffff">
                  <v:stroke dashstyle="solid"/>
                </v:rect>
                <v:rect style="position:absolute;left:8535;top:371;width:1590;height:165" id="docshape2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Property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tours</w:t>
      </w:r>
    </w:p>
    <w:p>
      <w:pPr>
        <w:spacing w:after="0"/>
        <w:sectPr>
          <w:type w:val="continuous"/>
          <w:pgSz w:w="11920" w:h="16860"/>
          <w:pgMar w:top="0" w:bottom="0" w:left="0" w:right="780"/>
          <w:cols w:num="2" w:equalWidth="0">
            <w:col w:w="7440" w:space="40"/>
            <w:col w:w="3660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0" w:right="78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spacing w:line="316" w:lineRule="auto" w:before="0"/>
        <w:ind w:left="1338" w:right="38" w:firstLine="0"/>
        <w:jc w:val="left"/>
        <w:rPr>
          <w:sz w:val="22"/>
        </w:rPr>
      </w:pPr>
      <w:r>
        <w:rPr>
          <w:rFonts w:ascii="Calibri"/>
          <w:color w:val="8B3C4A"/>
          <w:w w:val="120"/>
          <w:sz w:val="18"/>
        </w:rPr>
        <w:t>Bachelor of Business Administration in Marketing </w:t>
      </w:r>
      <w:r>
        <w:rPr>
          <w:color w:val="8B3C4A"/>
          <w:spacing w:val="-4"/>
          <w:w w:val="115"/>
          <w:sz w:val="22"/>
        </w:rPr>
        <w:t>Texas</w:t>
      </w:r>
      <w:r>
        <w:rPr>
          <w:color w:val="8B3C4A"/>
          <w:spacing w:val="-20"/>
          <w:w w:val="115"/>
          <w:sz w:val="22"/>
        </w:rPr>
        <w:t> </w:t>
      </w:r>
      <w:r>
        <w:rPr>
          <w:color w:val="8B3C4A"/>
          <w:spacing w:val="-4"/>
          <w:w w:val="115"/>
          <w:sz w:val="22"/>
        </w:rPr>
        <w:t>State</w:t>
      </w:r>
      <w:r>
        <w:rPr>
          <w:color w:val="8B3C4A"/>
          <w:spacing w:val="-20"/>
          <w:w w:val="115"/>
          <w:sz w:val="22"/>
        </w:rPr>
        <w:t> </w:t>
      </w:r>
      <w:r>
        <w:rPr>
          <w:color w:val="8B3C4A"/>
          <w:spacing w:val="-4"/>
          <w:w w:val="115"/>
          <w:sz w:val="22"/>
        </w:rPr>
        <w:t>University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spacing w:before="1"/>
        <w:ind w:left="1338"/>
      </w:pPr>
      <w:r>
        <w:rPr>
          <w:color w:val="8B3C4A"/>
          <w:w w:val="110"/>
        </w:rPr>
        <w:t>May</w:t>
      </w:r>
      <w:r>
        <w:rPr>
          <w:color w:val="8B3C4A"/>
          <w:spacing w:val="-10"/>
          <w:w w:val="110"/>
        </w:rPr>
        <w:t> </w:t>
      </w:r>
      <w:r>
        <w:rPr>
          <w:color w:val="8B3C4A"/>
          <w:spacing w:val="-4"/>
          <w:w w:val="105"/>
        </w:rPr>
        <w:t>2016</w:t>
      </w:r>
    </w:p>
    <w:p>
      <w:pPr>
        <w:pStyle w:val="BodyText"/>
        <w:spacing w:line="280" w:lineRule="auto" w:before="103"/>
        <w:ind w:left="1038"/>
      </w:pPr>
      <w:r>
        <w:rPr/>
        <w:br w:type="column"/>
      </w:r>
      <w:r>
        <w:rPr>
          <w:color w:val="FFFFFF"/>
          <w:spacing w:val="-2"/>
          <w:w w:val="105"/>
        </w:rPr>
        <w:t>Rent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collection procedures</w:t>
      </w:r>
    </w:p>
    <w:p>
      <w:pPr>
        <w:pStyle w:val="BodyText"/>
        <w:spacing w:before="227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5410199</wp:posOffset>
                </wp:positionH>
                <wp:positionV relativeFrom="paragraph">
                  <wp:posOffset>-278368</wp:posOffset>
                </wp:positionV>
                <wp:extent cx="1695450" cy="1238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6762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14300">
                                <a:moveTo>
                                  <a:pt x="6762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-21.918781pt;width:133.5pt;height:9.75pt;mso-position-horizontal-relative:page;mso-position-vertical-relative:paragraph;z-index:15733248" id="docshapegroup23" coordorigin="8520,-438" coordsize="2670,195">
                <v:rect style="position:absolute;left:8527;top:-431;width:2655;height:180" id="docshape24" filled="false" stroked="true" strokeweight=".75pt" strokecolor="#ffffff">
                  <v:stroke dashstyle="solid"/>
                </v:rect>
                <v:rect style="position:absolute;left:8535;top:-424;width:1065;height:180" id="docshape25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5410199</wp:posOffset>
                </wp:positionH>
                <wp:positionV relativeFrom="paragraph">
                  <wp:posOffset>216931</wp:posOffset>
                </wp:positionV>
                <wp:extent cx="1695450" cy="12382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524" y="9524"/>
                            <a:ext cx="3333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14300">
                                <a:moveTo>
                                  <a:pt x="3333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7.081215pt;width:133.5pt;height:9.75pt;mso-position-horizontal-relative:page;mso-position-vertical-relative:paragraph;z-index:15733760" id="docshapegroup26" coordorigin="8520,342" coordsize="2670,195">
                <v:rect style="position:absolute;left:8527;top:349;width:2655;height:180" id="docshape27" filled="false" stroked="true" strokeweight=".75pt" strokecolor="#ffffff">
                  <v:stroke dashstyle="solid"/>
                </v:rect>
                <v:rect style="position:absolute;left:8535;top:356;width:525;height:180" id="docshape28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0</wp:posOffset>
                </wp:positionH>
                <wp:positionV relativeFrom="paragraph">
                  <wp:posOffset>-602218</wp:posOffset>
                </wp:positionV>
                <wp:extent cx="4962525" cy="22860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4962525" cy="228600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7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-2"/>
                                <w:w w:val="13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7.418777pt;width:390.75pt;height:18pt;mso-position-horizontal-relative:page;mso-position-vertical-relative:paragraph;z-index:15734784" type="#_x0000_t202" id="docshape29" filled="true" fillcolor="#8b3c4a" stroked="false">
                <v:textbox inset="0,0,0,0">
                  <w:txbxContent>
                    <w:p>
                      <w:pPr>
                        <w:spacing w:before="37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8B3C4A"/>
                          <w:spacing w:val="-2"/>
                          <w:w w:val="130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</w:rPr>
        <w:t>Tenant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retention</w:t>
      </w:r>
    </w:p>
    <w:p>
      <w:pPr>
        <w:spacing w:after="0"/>
        <w:sectPr>
          <w:type w:val="continuous"/>
          <w:pgSz w:w="11920" w:h="16860"/>
          <w:pgMar w:top="0" w:bottom="0" w:left="0" w:right="780"/>
          <w:cols w:num="3" w:equalWidth="0">
            <w:col w:w="4002" w:space="1132"/>
            <w:col w:w="2307" w:space="39"/>
            <w:col w:w="3660"/>
          </w:cols>
        </w:sectPr>
      </w:pPr>
    </w:p>
    <w:p>
      <w:pPr>
        <w:pStyle w:val="BodyText"/>
        <w:spacing w:before="13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812096" id="docshape30" filled="true" fillcolor="#8b3c4a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-2"/>
                                <w:w w:val="125"/>
                                <w:sz w:val="2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31" filled="true" fillcolor="#8b3c4a" stroked="false">
                <w10:anchorlock/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8B3C4A"/>
                          <w:spacing w:val="-2"/>
                          <w:w w:val="125"/>
                          <w:sz w:val="26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80" w:lineRule="auto" w:before="228"/>
        <w:ind w:left="1338" w:right="4560" w:firstLine="0"/>
        <w:jc w:val="left"/>
        <w:rPr>
          <w:sz w:val="22"/>
        </w:rPr>
      </w:pPr>
      <w:r>
        <w:rPr>
          <w:b/>
          <w:color w:val="8B3C4A"/>
          <w:sz w:val="22"/>
        </w:rPr>
        <w:t>Certified Apartment Leasing Professional (CALP) </w:t>
      </w:r>
      <w:r>
        <w:rPr>
          <w:color w:val="8B3C4A"/>
          <w:w w:val="85"/>
          <w:sz w:val="22"/>
        </w:rPr>
        <w:t>| </w:t>
      </w:r>
      <w:r>
        <w:rPr>
          <w:color w:val="8B3C4A"/>
          <w:sz w:val="22"/>
        </w:rPr>
        <w:t>National Apartment Association </w:t>
      </w:r>
      <w:r>
        <w:rPr>
          <w:color w:val="8B3C4A"/>
          <w:w w:val="85"/>
          <w:sz w:val="22"/>
        </w:rPr>
        <w:t>| </w:t>
      </w:r>
      <w:r>
        <w:rPr>
          <w:color w:val="8B3C4A"/>
          <w:sz w:val="22"/>
        </w:rPr>
        <w:t>August 2020</w:t>
      </w:r>
    </w:p>
    <w:p>
      <w:pPr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0" w:bottom="0" w:left="0" w:right="780"/>
        </w:sectPr>
      </w:pPr>
    </w:p>
    <w:p>
      <w:pPr>
        <w:pStyle w:val="BodyText"/>
        <w:spacing w:before="2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805952" id="docshape32" filled="true" fillcolor="#8b3c4a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logan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2025-10-03T15:28:04Z</dcterms:created>
  <dcterms:modified xsi:type="dcterms:W3CDTF">2025-10-03T15:28:04Z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2025-10-03T00:00:00Z</vt:filetime>
  </property>
  <property fmtid="{D5CDD505-2E9C-101B-9397-08002B2CF9AE}" pid="5" name="Producer">
    <vt:lpwstr>pdf-merger-js</vt:lpwstr>
  </property>
</Properties>
</file>