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98B78"/>
          <w:w w:val="130"/>
        </w:rPr>
        <w:t>Shawn</w:t>
      </w:r>
      <w:r>
        <w:rPr>
          <w:color w:val="F98B78"/>
          <w:spacing w:val="-33"/>
          <w:w w:val="130"/>
        </w:rPr>
        <w:t> </w:t>
      </w:r>
      <w:r>
        <w:rPr>
          <w:color w:val="F98B78"/>
          <w:spacing w:val="-4"/>
          <w:w w:val="130"/>
        </w:rPr>
        <w:t>White</w:t>
      </w:r>
    </w:p>
    <w:p>
      <w:pPr>
        <w:spacing w:before="97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30"/>
          <w:sz w:val="22"/>
        </w:rPr>
        <w:t>Commercial</w:t>
      </w:r>
      <w:r>
        <w:rPr>
          <w:rFonts w:ascii="Calibri"/>
          <w:b/>
          <w:spacing w:val="-15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Real</w:t>
      </w:r>
      <w:r>
        <w:rPr>
          <w:rFonts w:ascii="Calibri"/>
          <w:b/>
          <w:spacing w:val="-15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Estate</w:t>
      </w:r>
      <w:r>
        <w:rPr>
          <w:rFonts w:ascii="Calibri"/>
          <w:b/>
          <w:spacing w:val="-15"/>
          <w:w w:val="130"/>
          <w:sz w:val="22"/>
        </w:rPr>
        <w:t> </w:t>
      </w:r>
      <w:r>
        <w:rPr>
          <w:rFonts w:ascii="Calibri"/>
          <w:b/>
          <w:spacing w:val="-4"/>
          <w:w w:val="130"/>
          <w:sz w:val="22"/>
        </w:rPr>
        <w:t>Agent</w:t>
      </w:r>
    </w:p>
    <w:p>
      <w:pPr>
        <w:pStyle w:val="BodyText"/>
        <w:spacing w:before="156"/>
        <w:ind w:right="113"/>
        <w:jc w:val="right"/>
      </w:pPr>
      <w:r>
        <w:rPr/>
        <w:br w:type="column"/>
      </w:r>
      <w:r>
        <w:rPr>
          <w:w w:val="95"/>
        </w:rPr>
        <w:t>City,</w:t>
      </w:r>
      <w:r>
        <w:rPr>
          <w:spacing w:val="-3"/>
          <w:w w:val="95"/>
        </w:rPr>
        <w:t> </w:t>
      </w:r>
      <w:r>
        <w:rPr>
          <w:w w:val="95"/>
        </w:rPr>
        <w:t>ST</w:t>
      </w:r>
      <w:r>
        <w:rPr>
          <w:spacing w:val="-9"/>
          <w:w w:val="95"/>
        </w:rPr>
        <w:t> </w:t>
      </w:r>
      <w:r>
        <w:rPr>
          <w:w w:val="85"/>
        </w:rPr>
        <w:t>|</w:t>
      </w:r>
      <w:r>
        <w:rPr>
          <w:spacing w:val="-3"/>
          <w:w w:val="95"/>
        </w:rPr>
        <w:t> </w:t>
      </w:r>
      <w:r>
        <w:rPr>
          <w:w w:val="95"/>
        </w:rPr>
        <w:t>(555)</w:t>
      </w:r>
      <w:r>
        <w:rPr>
          <w:spacing w:val="-3"/>
          <w:w w:val="95"/>
        </w:rPr>
        <w:t> </w:t>
      </w:r>
      <w:r>
        <w:rPr>
          <w:w w:val="95"/>
        </w:rPr>
        <w:t>234-</w:t>
      </w:r>
      <w:r>
        <w:rPr>
          <w:spacing w:val="-4"/>
          <w:w w:val="95"/>
        </w:rPr>
        <w:t>5678</w:t>
      </w:r>
    </w:p>
    <w:p>
      <w:pPr>
        <w:pStyle w:val="BodyText"/>
        <w:spacing w:before="59"/>
        <w:ind w:right="113"/>
        <w:jc w:val="right"/>
      </w:pPr>
      <w:hyperlink r:id="rId5">
        <w:r>
          <w:rPr>
            <w:spacing w:val="-2"/>
          </w:rPr>
          <w:t>shawnwhite@email.com</w:t>
        </w:r>
      </w:hyperlink>
    </w:p>
    <w:p>
      <w:pPr>
        <w:pStyle w:val="BodyText"/>
        <w:spacing w:before="60"/>
        <w:ind w:right="113"/>
        <w:jc w:val="right"/>
      </w:pPr>
      <w:r>
        <w:rPr>
          <w:spacing w:val="-2"/>
          <w:w w:val="105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1120" w:bottom="280" w:left="1220" w:right="1220"/>
          <w:cols w:num="2" w:equalWidth="0">
            <w:col w:w="3722" w:space="3043"/>
            <w:col w:w="2715"/>
          </w:cols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spacing w:line="276" w:lineRule="auto" w:before="0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Aspiring Residential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Real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Estate Professional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with a strong customer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service background. Recently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completed state real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estate licensing program, and actively studying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local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housing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markets.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Ready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apply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service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mindset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aptitude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a real estate environment.</w:t>
      </w:r>
    </w:p>
    <w:p>
      <w:pPr>
        <w:pStyle w:val="BodyText"/>
        <w:spacing w:before="149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2314574</wp:posOffset>
                </wp:positionH>
                <wp:positionV relativeFrom="paragraph">
                  <wp:posOffset>128675</wp:posOffset>
                </wp:positionV>
                <wp:extent cx="44100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4100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0075" h="38100">
                              <a:moveTo>
                                <a:pt x="0" y="38099"/>
                              </a:moveTo>
                              <a:lnTo>
                                <a:pt x="4410074" y="38099"/>
                              </a:lnTo>
                              <a:lnTo>
                                <a:pt x="44100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2.249985pt;margin-top:10.131897pt;width:347.249972pt;height:3.0pt;mso-position-horizontal-relative:page;mso-position-vertical-relative:paragraph;z-index:15728640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w w:val="130"/>
        </w:rPr>
        <w:t>Key</w:t>
      </w:r>
      <w:r>
        <w:rPr>
          <w:color w:val="F98B78"/>
          <w:spacing w:val="-20"/>
          <w:w w:val="130"/>
        </w:rPr>
        <w:t> </w:t>
      </w:r>
      <w:r>
        <w:rPr>
          <w:color w:val="F98B78"/>
          <w:spacing w:val="-2"/>
          <w:w w:val="130"/>
        </w:rPr>
        <w:t>Skills</w:t>
      </w:r>
    </w:p>
    <w:p>
      <w:pPr>
        <w:spacing w:before="189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B2B</w:t>
      </w:r>
      <w:r>
        <w:rPr>
          <w:b/>
          <w:spacing w:val="-3"/>
          <w:w w:val="105"/>
          <w:sz w:val="22"/>
        </w:rPr>
        <w:t> </w:t>
      </w:r>
      <w:r>
        <w:rPr>
          <w:b/>
          <w:spacing w:val="-2"/>
          <w:w w:val="110"/>
          <w:sz w:val="22"/>
        </w:rPr>
        <w:t>leasing</w:t>
      </w:r>
    </w:p>
    <w:p>
      <w:pPr>
        <w:spacing w:line="350" w:lineRule="auto" w:before="120"/>
        <w:ind w:left="118" w:right="6159" w:firstLine="0"/>
        <w:jc w:val="left"/>
        <w:rPr>
          <w:b/>
          <w:sz w:val="22"/>
        </w:rPr>
      </w:pPr>
      <w:r>
        <w:rPr>
          <w:b/>
          <w:w w:val="105"/>
          <w:sz w:val="22"/>
        </w:rPr>
        <w:t>Commercial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market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analysis Financial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modeling Investment property sales Lease contract negotiation Property</w:t>
      </w:r>
      <w:r>
        <w:rPr>
          <w:b/>
          <w:spacing w:val="-28"/>
          <w:w w:val="105"/>
          <w:sz w:val="22"/>
        </w:rPr>
        <w:t> </w:t>
      </w:r>
      <w:r>
        <w:rPr>
          <w:b/>
          <w:w w:val="105"/>
          <w:sz w:val="22"/>
        </w:rPr>
        <w:t>valuation Relationship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building</w:t>
      </w:r>
    </w:p>
    <w:p>
      <w:pPr>
        <w:spacing w:line="238" w:lineRule="exact" w:before="0"/>
        <w:ind w:left="118" w:right="0" w:firstLine="0"/>
        <w:jc w:val="left"/>
        <w:rPr>
          <w:b/>
          <w:sz w:val="22"/>
        </w:rPr>
      </w:pPr>
      <w:r>
        <w:rPr>
          <w:b/>
          <w:sz w:val="22"/>
        </w:rPr>
        <w:t>Site</w:t>
      </w:r>
      <w:r>
        <w:rPr>
          <w:b/>
          <w:spacing w:val="2"/>
          <w:sz w:val="22"/>
        </w:rPr>
        <w:t> </w:t>
      </w:r>
      <w:r>
        <w:rPr>
          <w:b/>
          <w:spacing w:val="-2"/>
          <w:sz w:val="22"/>
        </w:rPr>
        <w:t>selection</w:t>
      </w:r>
    </w:p>
    <w:p>
      <w:pPr>
        <w:pStyle w:val="BodyText"/>
        <w:spacing w:before="153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4114799</wp:posOffset>
                </wp:positionH>
                <wp:positionV relativeFrom="paragraph">
                  <wp:posOffset>138194</wp:posOffset>
                </wp:positionV>
                <wp:extent cx="2609850" cy="28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60985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9850" h="28575">
                              <a:moveTo>
                                <a:pt x="0" y="28574"/>
                              </a:moveTo>
                              <a:lnTo>
                                <a:pt x="2609849" y="28574"/>
                              </a:lnTo>
                              <a:lnTo>
                                <a:pt x="260984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3.999969pt;margin-top:10.881491pt;width:205.499984pt;height:2.25pt;mso-position-horizontal-relative:page;mso-position-vertical-relative:paragraph;z-index:15729152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w w:val="125"/>
        </w:rPr>
        <w:t>Professional</w:t>
      </w:r>
      <w:r>
        <w:rPr>
          <w:color w:val="F98B78"/>
          <w:spacing w:val="11"/>
          <w:w w:val="130"/>
        </w:rPr>
        <w:t> </w:t>
      </w:r>
      <w:r>
        <w:rPr>
          <w:color w:val="F98B78"/>
          <w:spacing w:val="-2"/>
          <w:w w:val="130"/>
        </w:rPr>
        <w:t>Experience</w:t>
      </w:r>
    </w:p>
    <w:p>
      <w:pPr>
        <w:spacing w:before="186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30"/>
          <w:sz w:val="22"/>
        </w:rPr>
        <w:t>Commercial</w:t>
      </w:r>
      <w:r>
        <w:rPr>
          <w:rFonts w:ascii="Calibri"/>
          <w:b/>
          <w:spacing w:val="-15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Real</w:t>
      </w:r>
      <w:r>
        <w:rPr>
          <w:rFonts w:ascii="Calibri"/>
          <w:b/>
          <w:spacing w:val="-15"/>
          <w:w w:val="130"/>
          <w:sz w:val="22"/>
        </w:rPr>
        <w:t> </w:t>
      </w:r>
      <w:r>
        <w:rPr>
          <w:rFonts w:ascii="Calibri"/>
          <w:b/>
          <w:w w:val="130"/>
          <w:sz w:val="22"/>
        </w:rPr>
        <w:t>Estate</w:t>
      </w:r>
      <w:r>
        <w:rPr>
          <w:rFonts w:ascii="Calibri"/>
          <w:b/>
          <w:spacing w:val="-15"/>
          <w:w w:val="130"/>
          <w:sz w:val="22"/>
        </w:rPr>
        <w:t> </w:t>
      </w:r>
      <w:r>
        <w:rPr>
          <w:rFonts w:ascii="Calibri"/>
          <w:b/>
          <w:spacing w:val="-4"/>
          <w:w w:val="130"/>
          <w:sz w:val="22"/>
        </w:rPr>
        <w:t>Agent</w:t>
      </w:r>
    </w:p>
    <w:p>
      <w:pPr>
        <w:tabs>
          <w:tab w:pos="7438" w:val="left" w:leader="none"/>
        </w:tabs>
        <w:spacing w:before="95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Marcus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&amp;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Millichap,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Atlanta,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GA</w:t>
      </w:r>
      <w:r>
        <w:rPr>
          <w:i/>
          <w:sz w:val="22"/>
        </w:rPr>
        <w:tab/>
        <w:t>June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60" w:lineRule="atLeast"/>
        <w:ind w:left="144" w:right="311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Closed</w:t>
      </w:r>
      <w:r>
        <w:rPr>
          <w:spacing w:val="33"/>
        </w:rPr>
        <w:t> </w:t>
      </w:r>
      <w:r>
        <w:rPr/>
        <w:t>over</w:t>
      </w:r>
      <w:r>
        <w:rPr>
          <w:spacing w:val="24"/>
        </w:rPr>
        <w:t> </w:t>
      </w:r>
      <w:r>
        <w:rPr/>
        <w:t>$30</w:t>
      </w:r>
      <w:r>
        <w:rPr>
          <w:spacing w:val="33"/>
        </w:rPr>
        <w:t> </w:t>
      </w:r>
      <w:r>
        <w:rPr/>
        <w:t>million</w:t>
      </w:r>
      <w:r>
        <w:rPr>
          <w:spacing w:val="33"/>
        </w:rPr>
        <w:t> </w:t>
      </w:r>
      <w:r>
        <w:rPr/>
        <w:t>in</w:t>
      </w:r>
      <w:r>
        <w:rPr>
          <w:spacing w:val="33"/>
        </w:rPr>
        <w:t> </w:t>
      </w:r>
      <w:r>
        <w:rPr/>
        <w:t>commercial</w:t>
      </w:r>
      <w:r>
        <w:rPr>
          <w:spacing w:val="21"/>
        </w:rPr>
        <w:t> </w:t>
      </w:r>
      <w:r>
        <w:rPr/>
        <w:t>property</w:t>
      </w:r>
      <w:r>
        <w:rPr>
          <w:spacing w:val="22"/>
        </w:rPr>
        <w:t> </w:t>
      </w:r>
      <w:r>
        <w:rPr/>
        <w:t>sales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lease</w:t>
      </w:r>
      <w:r>
        <w:rPr>
          <w:spacing w:val="33"/>
        </w:rPr>
        <w:t> </w:t>
      </w:r>
      <w:r>
        <w:rPr/>
        <w:t>transactions</w:t>
      </w:r>
      <w:r>
        <w:rPr>
          <w:spacing w:val="33"/>
        </w:rPr>
        <w:t> </w:t>
      </w:r>
      <w:r>
        <w:rPr/>
        <w:t>in</w:t>
      </w:r>
      <w:r>
        <w:rPr>
          <w:spacing w:val="33"/>
        </w:rPr>
        <w:t> </w:t>
      </w:r>
      <w:r>
        <w:rPr/>
        <w:t>2023</w:t>
      </w:r>
      <w:r>
        <w:rPr/>
        <w:t>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Advised</w:t>
      </w:r>
      <w:r>
        <w:rPr>
          <w:spacing w:val="21"/>
        </w:rPr>
        <w:t> </w:t>
      </w:r>
      <w:r>
        <w:rPr/>
        <w:t>clients</w:t>
      </w:r>
      <w:r>
        <w:rPr>
          <w:spacing w:val="21"/>
        </w:rPr>
        <w:t> </w:t>
      </w:r>
      <w:r>
        <w:rPr/>
        <w:t>on</w:t>
      </w:r>
      <w:r>
        <w:rPr>
          <w:spacing w:val="21"/>
        </w:rPr>
        <w:t> </w:t>
      </w:r>
      <w:r>
        <w:rPr/>
        <w:t>cap</w:t>
      </w:r>
      <w:r>
        <w:rPr>
          <w:spacing w:val="21"/>
        </w:rPr>
        <w:t> </w:t>
      </w:r>
      <w:r>
        <w:rPr/>
        <w:t>rates,</w:t>
      </w:r>
      <w:r>
        <w:rPr>
          <w:spacing w:val="21"/>
        </w:rPr>
        <w:t> </w:t>
      </w:r>
      <w:r>
        <w:rPr/>
        <w:t>tax</w:t>
      </w:r>
      <w:r>
        <w:rPr>
          <w:spacing w:val="21"/>
        </w:rPr>
        <w:t> </w:t>
      </w:r>
      <w:r>
        <w:rPr/>
        <w:t>considerations,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market</w:t>
      </w:r>
      <w:r>
        <w:rPr>
          <w:spacing w:val="21"/>
        </w:rPr>
        <w:t> </w:t>
      </w:r>
      <w:r>
        <w:rPr/>
        <w:t>trends</w:t>
      </w:r>
      <w:r>
        <w:rPr>
          <w:spacing w:val="21"/>
        </w:rPr>
        <w:t> </w:t>
      </w:r>
      <w:r>
        <w:rPr/>
        <w:t>to</w:t>
      </w:r>
      <w:r>
        <w:rPr>
          <w:spacing w:val="21"/>
        </w:rPr>
        <w:t> </w:t>
      </w:r>
      <w:r>
        <w:rPr/>
        <w:t>support</w:t>
      </w:r>
      <w:r>
        <w:rPr>
          <w:spacing w:val="21"/>
        </w:rPr>
        <w:t> </w:t>
      </w:r>
      <w:r>
        <w:rPr/>
        <w:t>sound</w:t>
      </w:r>
    </w:p>
    <w:p>
      <w:pPr>
        <w:pStyle w:val="BodyText"/>
        <w:spacing w:line="255" w:lineRule="exact"/>
        <w:ind w:left="490"/>
      </w:pPr>
      <w:r>
        <w:rPr/>
        <w:t>investment</w:t>
      </w:r>
      <w:r>
        <w:rPr>
          <w:spacing w:val="25"/>
        </w:rPr>
        <w:t> </w:t>
      </w:r>
      <w:r>
        <w:rPr>
          <w:spacing w:val="-2"/>
        </w:rPr>
        <w:t>decisions</w:t>
      </w:r>
    </w:p>
    <w:p>
      <w:pPr>
        <w:pStyle w:val="BodyText"/>
        <w:tabs>
          <w:tab w:pos="490" w:val="left" w:leader="none"/>
        </w:tabs>
        <w:spacing w:before="104"/>
        <w:ind w:left="490" w:right="923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Led negotiations for multiple 10-year lease contracts for retail clients, reducing turnover by 35%</w:t>
      </w:r>
    </w:p>
    <w:p>
      <w:pPr>
        <w:spacing w:before="221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pacing w:val="-2"/>
          <w:w w:val="130"/>
          <w:sz w:val="22"/>
        </w:rPr>
        <w:t>Associate</w:t>
      </w:r>
      <w:r>
        <w:rPr>
          <w:rFonts w:ascii="Calibri"/>
          <w:b/>
          <w:w w:val="130"/>
          <w:sz w:val="22"/>
        </w:rPr>
        <w:t> </w:t>
      </w:r>
      <w:r>
        <w:rPr>
          <w:rFonts w:ascii="Calibri"/>
          <w:b/>
          <w:spacing w:val="-4"/>
          <w:w w:val="130"/>
          <w:sz w:val="22"/>
        </w:rPr>
        <w:t>Agent</w:t>
      </w:r>
    </w:p>
    <w:p>
      <w:pPr>
        <w:tabs>
          <w:tab w:pos="7328" w:val="left" w:leader="none"/>
        </w:tabs>
        <w:spacing w:before="95"/>
        <w:ind w:left="118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JLL,</w:t>
      </w:r>
      <w:r>
        <w:rPr>
          <w:i/>
          <w:spacing w:val="-16"/>
          <w:sz w:val="22"/>
        </w:rPr>
        <w:t> </w:t>
      </w:r>
      <w:r>
        <w:rPr>
          <w:i/>
          <w:spacing w:val="-6"/>
          <w:sz w:val="22"/>
        </w:rPr>
        <w:t>Atlanta,</w:t>
      </w:r>
      <w:r>
        <w:rPr>
          <w:i/>
          <w:spacing w:val="-9"/>
          <w:sz w:val="22"/>
        </w:rPr>
        <w:t> </w:t>
      </w:r>
      <w:r>
        <w:rPr>
          <w:i/>
          <w:spacing w:val="-6"/>
          <w:sz w:val="22"/>
        </w:rPr>
        <w:t>GA</w:t>
      </w:r>
      <w:r>
        <w:rPr>
          <w:i/>
          <w:sz w:val="22"/>
        </w:rPr>
        <w:tab/>
        <w:t>July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BodyText"/>
        <w:tabs>
          <w:tab w:pos="490" w:val="left" w:leader="none"/>
        </w:tabs>
        <w:spacing w:before="119"/>
        <w:ind w:left="490" w:right="234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8"/>
          <w:w w:val="105"/>
        </w:rPr>
        <w:t> </w:t>
      </w:r>
      <w:r>
        <w:rPr>
          <w:w w:val="105"/>
        </w:rPr>
        <w:t>senior</w:t>
      </w:r>
      <w:r>
        <w:rPr>
          <w:spacing w:val="-18"/>
          <w:w w:val="105"/>
        </w:rPr>
        <w:t> </w:t>
      </w:r>
      <w:r>
        <w:rPr>
          <w:w w:val="105"/>
        </w:rPr>
        <w:t>brokers</w:t>
      </w:r>
      <w:r>
        <w:rPr>
          <w:spacing w:val="-18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preparing</w:t>
      </w:r>
      <w:r>
        <w:rPr>
          <w:spacing w:val="-17"/>
          <w:w w:val="105"/>
        </w:rPr>
        <w:t> </w:t>
      </w:r>
      <w:r>
        <w:rPr>
          <w:w w:val="105"/>
        </w:rPr>
        <w:t>market</w:t>
      </w:r>
      <w:r>
        <w:rPr>
          <w:spacing w:val="-18"/>
          <w:w w:val="105"/>
        </w:rPr>
        <w:t> </w:t>
      </w:r>
      <w:r>
        <w:rPr>
          <w:w w:val="105"/>
        </w:rPr>
        <w:t>research,</w:t>
      </w:r>
      <w:r>
        <w:rPr>
          <w:spacing w:val="-17"/>
          <w:w w:val="105"/>
        </w:rPr>
        <w:t> </w:t>
      </w:r>
      <w:r>
        <w:rPr>
          <w:w w:val="105"/>
        </w:rPr>
        <w:t>financial</w:t>
      </w:r>
      <w:r>
        <w:rPr>
          <w:spacing w:val="-21"/>
          <w:w w:val="105"/>
        </w:rPr>
        <w:t> </w:t>
      </w:r>
      <w:r>
        <w:rPr>
          <w:w w:val="105"/>
        </w:rPr>
        <w:t>packages,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presentations</w:t>
      </w:r>
    </w:p>
    <w:p>
      <w:pPr>
        <w:pStyle w:val="BodyText"/>
        <w:tabs>
          <w:tab w:pos="490" w:val="left" w:leader="none"/>
        </w:tabs>
        <w:spacing w:before="104"/>
        <w:ind w:left="490" w:right="260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9"/>
          <w:w w:val="105"/>
        </w:rPr>
        <w:t> </w:t>
      </w:r>
      <w:r>
        <w:rPr>
          <w:w w:val="105"/>
        </w:rPr>
        <w:t>tenant</w:t>
      </w:r>
      <w:r>
        <w:rPr>
          <w:spacing w:val="-9"/>
          <w:w w:val="105"/>
        </w:rPr>
        <w:t> </w:t>
      </w:r>
      <w:r>
        <w:rPr>
          <w:w w:val="105"/>
        </w:rPr>
        <w:t>communications</w:t>
      </w:r>
      <w:r>
        <w:rPr>
          <w:spacing w:val="-9"/>
          <w:w w:val="105"/>
        </w:rPr>
        <w:t> </w:t>
      </w:r>
      <w:r>
        <w:rPr>
          <w:w w:val="105"/>
        </w:rPr>
        <w:t>during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lease</w:t>
      </w:r>
      <w:r>
        <w:rPr>
          <w:spacing w:val="-9"/>
          <w:w w:val="105"/>
        </w:rPr>
        <w:t> </w:t>
      </w:r>
      <w:r>
        <w:rPr>
          <w:w w:val="105"/>
        </w:rPr>
        <w:t>renewal</w:t>
      </w:r>
      <w:r>
        <w:rPr>
          <w:spacing w:val="-16"/>
          <w:w w:val="105"/>
        </w:rPr>
        <w:t> </w:t>
      </w:r>
      <w:r>
        <w:rPr>
          <w:w w:val="105"/>
        </w:rPr>
        <w:t>process,</w:t>
      </w:r>
      <w:r>
        <w:rPr>
          <w:spacing w:val="-9"/>
          <w:w w:val="105"/>
        </w:rPr>
        <w:t> </w:t>
      </w:r>
      <w:r>
        <w:rPr>
          <w:w w:val="105"/>
        </w:rPr>
        <w:t>contributing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a 25% renewal increase</w:t>
      </w:r>
    </w:p>
    <w:p>
      <w:pPr>
        <w:pStyle w:val="BodyText"/>
        <w:tabs>
          <w:tab w:pos="490" w:val="left" w:leader="none"/>
        </w:tabs>
        <w:spacing w:before="104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Helped</w:t>
      </w:r>
      <w:r>
        <w:rPr>
          <w:spacing w:val="8"/>
        </w:rPr>
        <w:t> </w:t>
      </w:r>
      <w:r>
        <w:rPr/>
        <w:t>identify</w:t>
      </w:r>
      <w:r>
        <w:rPr>
          <w:spacing w:val="1"/>
        </w:rPr>
        <w:t> </w:t>
      </w:r>
      <w:r>
        <w:rPr/>
        <w:t>new</w:t>
      </w:r>
      <w:r>
        <w:rPr>
          <w:spacing w:val="1"/>
        </w:rPr>
        <w:t> </w:t>
      </w:r>
      <w:r>
        <w:rPr/>
        <w:t>listings</w:t>
      </w:r>
      <w:r>
        <w:rPr>
          <w:spacing w:val="9"/>
        </w:rPr>
        <w:t> </w:t>
      </w:r>
      <w:r>
        <w:rPr/>
        <w:t>that</w:t>
      </w:r>
      <w:r>
        <w:rPr>
          <w:spacing w:val="9"/>
        </w:rPr>
        <w:t> </w:t>
      </w:r>
      <w:r>
        <w:rPr/>
        <w:t>aligned</w:t>
      </w:r>
      <w:r>
        <w:rPr>
          <w:spacing w:val="1"/>
        </w:rPr>
        <w:t> </w:t>
      </w:r>
      <w:r>
        <w:rPr/>
        <w:t>with</w:t>
      </w:r>
      <w:r>
        <w:rPr>
          <w:spacing w:val="8"/>
        </w:rPr>
        <w:t> </w:t>
      </w:r>
      <w:r>
        <w:rPr/>
        <w:t>investor</w:t>
      </w:r>
      <w:r>
        <w:rPr>
          <w:spacing w:val="3"/>
        </w:rPr>
        <w:t> </w:t>
      </w:r>
      <w:r>
        <w:rPr>
          <w:spacing w:val="-2"/>
        </w:rPr>
        <w:t>portfolios</w:t>
      </w:r>
    </w:p>
    <w:p>
      <w:pPr>
        <w:pStyle w:val="BodyText"/>
        <w:spacing w:before="15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2409824</wp:posOffset>
                </wp:positionH>
                <wp:positionV relativeFrom="paragraph">
                  <wp:posOffset>128503</wp:posOffset>
                </wp:positionV>
                <wp:extent cx="4314825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3148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4825" h="38100">
                              <a:moveTo>
                                <a:pt x="0" y="38099"/>
                              </a:moveTo>
                              <a:lnTo>
                                <a:pt x="4314824" y="38099"/>
                              </a:lnTo>
                              <a:lnTo>
                                <a:pt x="43148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9.749985pt;margin-top:10.118382pt;width:339.749973pt;height:3.0pt;mso-position-horizontal-relative:page;mso-position-vertical-relative:paragraph;z-index:15729664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  <w:w w:val="130"/>
        </w:rPr>
        <w:t>Education</w:t>
      </w:r>
    </w:p>
    <w:p>
      <w:pPr>
        <w:spacing w:before="171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20"/>
          <w:sz w:val="22"/>
        </w:rPr>
        <w:t>Bachelor</w:t>
      </w:r>
      <w:r>
        <w:rPr>
          <w:rFonts w:ascii="Calibri"/>
          <w:b/>
          <w:spacing w:val="40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of</w:t>
      </w:r>
      <w:r>
        <w:rPr>
          <w:rFonts w:ascii="Calibri"/>
          <w:b/>
          <w:spacing w:val="41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Business</w:t>
      </w:r>
      <w:r>
        <w:rPr>
          <w:rFonts w:ascii="Calibri"/>
          <w:b/>
          <w:spacing w:val="41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Administration</w:t>
      </w:r>
      <w:r>
        <w:rPr>
          <w:rFonts w:ascii="Calibri"/>
          <w:b/>
          <w:spacing w:val="41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in</w:t>
      </w:r>
      <w:r>
        <w:rPr>
          <w:rFonts w:ascii="Calibri"/>
          <w:b/>
          <w:spacing w:val="41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Real</w:t>
      </w:r>
      <w:r>
        <w:rPr>
          <w:rFonts w:ascii="Calibri"/>
          <w:b/>
          <w:spacing w:val="41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Estate</w:t>
      </w:r>
      <w:r>
        <w:rPr>
          <w:rFonts w:ascii="Calibri"/>
          <w:b/>
          <w:spacing w:val="41"/>
          <w:w w:val="120"/>
          <w:sz w:val="22"/>
        </w:rPr>
        <w:t> </w:t>
      </w:r>
      <w:r>
        <w:rPr>
          <w:rFonts w:ascii="Calibri"/>
          <w:b/>
          <w:sz w:val="22"/>
        </w:rPr>
        <w:t>|</w:t>
      </w:r>
      <w:r>
        <w:rPr>
          <w:rFonts w:ascii="Calibri"/>
          <w:b/>
          <w:spacing w:val="41"/>
          <w:w w:val="120"/>
          <w:sz w:val="22"/>
        </w:rPr>
        <w:t> </w:t>
      </w:r>
      <w:r>
        <w:rPr>
          <w:rFonts w:ascii="Calibri"/>
          <w:b/>
          <w:spacing w:val="-4"/>
          <w:w w:val="120"/>
          <w:sz w:val="22"/>
        </w:rPr>
        <w:t>2018</w:t>
      </w:r>
    </w:p>
    <w:p>
      <w:pPr>
        <w:pStyle w:val="BodyText"/>
        <w:spacing w:before="94"/>
        <w:ind w:left="118"/>
      </w:pPr>
      <w:r>
        <w:rPr/>
        <w:t>Georgia</w:t>
      </w:r>
      <w:r>
        <w:rPr>
          <w:spacing w:val="-14"/>
        </w:rPr>
        <w:t> </w:t>
      </w:r>
      <w:r>
        <w:rPr/>
        <w:t>State</w:t>
      </w:r>
      <w:r>
        <w:rPr>
          <w:spacing w:val="-11"/>
        </w:rPr>
        <w:t> </w:t>
      </w:r>
      <w:r>
        <w:rPr/>
        <w:t>University</w:t>
      </w:r>
      <w:r>
        <w:rPr>
          <w:spacing w:val="-16"/>
        </w:rPr>
        <w:t> </w:t>
      </w:r>
      <w:r>
        <w:rPr>
          <w:w w:val="85"/>
        </w:rPr>
        <w:t>|</w:t>
      </w:r>
      <w:r>
        <w:rPr>
          <w:spacing w:val="-8"/>
          <w:w w:val="85"/>
        </w:rPr>
        <w:t> </w:t>
      </w:r>
      <w:r>
        <w:rPr/>
        <w:t>Atlanta,</w:t>
      </w:r>
      <w:r>
        <w:rPr>
          <w:spacing w:val="-11"/>
        </w:rPr>
        <w:t> </w:t>
      </w:r>
      <w:r>
        <w:rPr>
          <w:spacing w:val="-5"/>
        </w:rPr>
        <w:t>GA</w:t>
      </w:r>
    </w:p>
    <w:sectPr>
      <w:type w:val="continuous"/>
      <w:pgSz w:w="11920" w:h="16860"/>
      <w:pgMar w:top="11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18"/>
    </w:pPr>
    <w:rPr>
      <w:rFonts w:ascii="Calibri" w:hAnsi="Calibri" w:eastAsia="Calibri" w:cs="Calibri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2025-10-03T14:34:19Z</dcterms:created>
  <dcterms:modified xsi:type="dcterms:W3CDTF">2025-10-03T14:34:19Z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