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68" w:lineRule="auto"/>
      </w:pPr>
      <w:r>
        <w:rPr>
          <w:color w:val="2A98DE"/>
          <w:spacing w:val="-2"/>
          <w:w w:val="135"/>
        </w:rPr>
        <w:t>BLAKE ALLEN</w:t>
      </w:r>
    </w:p>
    <w:p>
      <w:pPr>
        <w:pStyle w:val="Heading1"/>
        <w:spacing w:line="249" w:lineRule="auto" w:before="63"/>
      </w:pPr>
      <w:r>
        <w:rPr>
          <w:color w:val="232323"/>
          <w:spacing w:val="-2"/>
          <w:w w:val="130"/>
        </w:rPr>
        <w:t>Bilingual</w:t>
      </w:r>
      <w:r>
        <w:rPr>
          <w:color w:val="232323"/>
          <w:spacing w:val="-16"/>
          <w:w w:val="130"/>
        </w:rPr>
        <w:t> </w:t>
      </w:r>
      <w:r>
        <w:rPr>
          <w:color w:val="232323"/>
          <w:spacing w:val="-2"/>
          <w:w w:val="130"/>
        </w:rPr>
        <w:t>Real</w:t>
      </w:r>
      <w:r>
        <w:rPr>
          <w:color w:val="232323"/>
          <w:spacing w:val="-16"/>
          <w:w w:val="130"/>
        </w:rPr>
        <w:t> </w:t>
      </w:r>
      <w:r>
        <w:rPr>
          <w:color w:val="232323"/>
          <w:spacing w:val="-2"/>
          <w:w w:val="130"/>
        </w:rPr>
        <w:t>Estate Agent</w:t>
      </w:r>
    </w:p>
    <w:p>
      <w:pPr>
        <w:pStyle w:val="BodyText"/>
        <w:spacing w:before="68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  <w:w w:val="105"/>
          </w:rPr>
          <w:t>blakeallen@email.com</w:t>
        </w:r>
      </w:hyperlink>
    </w:p>
    <w:p>
      <w:pPr>
        <w:spacing w:before="2"/>
        <w:ind w:left="114" w:right="0" w:firstLine="0"/>
        <w:jc w:val="left"/>
        <w:rPr>
          <w:i/>
          <w:sz w:val="22"/>
        </w:rPr>
      </w:pPr>
      <w:r>
        <w:rPr>
          <w:i/>
          <w:color w:val="232323"/>
          <w:spacing w:val="-2"/>
          <w:sz w:val="22"/>
        </w:rPr>
        <w:t>(555)</w:t>
      </w:r>
      <w:r>
        <w:rPr>
          <w:i/>
          <w:color w:val="232323"/>
          <w:spacing w:val="-1"/>
          <w:sz w:val="22"/>
        </w:rPr>
        <w:t> </w:t>
      </w:r>
      <w:r>
        <w:rPr>
          <w:i/>
          <w:color w:val="232323"/>
          <w:spacing w:val="-2"/>
          <w:sz w:val="22"/>
        </w:rPr>
        <w:t>888-</w:t>
      </w:r>
      <w:r>
        <w:rPr>
          <w:i/>
          <w:color w:val="232323"/>
          <w:spacing w:val="-4"/>
          <w:sz w:val="22"/>
        </w:rPr>
        <w:t>1010</w:t>
      </w:r>
    </w:p>
    <w:p>
      <w:pPr>
        <w:pStyle w:val="BodyText"/>
        <w:spacing w:before="45"/>
        <w:ind w:left="114"/>
      </w:pPr>
      <w:r>
        <w:rPr>
          <w:color w:val="232323"/>
          <w:spacing w:val="-2"/>
          <w:w w:val="105"/>
        </w:rPr>
        <w:t>LinkedIn</w:t>
      </w:r>
    </w:p>
    <w:p>
      <w:pPr>
        <w:spacing w:line="240" w:lineRule="auto" w:before="6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232323"/>
          <w:w w:val="105"/>
          <w:sz w:val="22"/>
        </w:rPr>
        <w:t>Bilingual</w:t>
      </w:r>
      <w:r>
        <w:rPr>
          <w:b/>
          <w:color w:val="232323"/>
          <w:spacing w:val="-7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agent</w:t>
      </w:r>
      <w:r>
        <w:rPr>
          <w:b/>
          <w:color w:val="232323"/>
          <w:spacing w:val="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bridging</w:t>
      </w:r>
      <w:r>
        <w:rPr>
          <w:b/>
          <w:color w:val="232323"/>
          <w:spacing w:val="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language</w:t>
      </w:r>
      <w:r>
        <w:rPr>
          <w:b/>
          <w:color w:val="232323"/>
          <w:spacing w:val="1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gaps</w:t>
      </w:r>
      <w:r>
        <w:rPr>
          <w:b/>
          <w:color w:val="232323"/>
          <w:spacing w:val="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in</w:t>
      </w:r>
      <w:r>
        <w:rPr>
          <w:b/>
          <w:color w:val="232323"/>
          <w:spacing w:val="2"/>
          <w:w w:val="105"/>
          <w:sz w:val="22"/>
        </w:rPr>
        <w:t> </w:t>
      </w:r>
      <w:r>
        <w:rPr>
          <w:b/>
          <w:color w:val="232323"/>
          <w:w w:val="105"/>
          <w:sz w:val="22"/>
        </w:rPr>
        <w:t>real</w:t>
      </w:r>
      <w:r>
        <w:rPr>
          <w:b/>
          <w:color w:val="232323"/>
          <w:spacing w:val="-6"/>
          <w:w w:val="105"/>
          <w:sz w:val="22"/>
        </w:rPr>
        <w:t> </w:t>
      </w:r>
      <w:r>
        <w:rPr>
          <w:b/>
          <w:color w:val="232323"/>
          <w:spacing w:val="-2"/>
          <w:w w:val="105"/>
          <w:sz w:val="22"/>
        </w:rPr>
        <w:t>estate</w:t>
      </w:r>
    </w:p>
    <w:p>
      <w:pPr>
        <w:pStyle w:val="BodyText"/>
        <w:spacing w:line="280" w:lineRule="auto" w:before="150"/>
        <w:ind w:left="114" w:right="9"/>
      </w:pPr>
      <w:r>
        <w:rPr>
          <w:color w:val="232323"/>
        </w:rPr>
        <w:t>Fluent English-Spanish Real Estate Agent with six years of experience serving multilingual clients in residential real estate. Skilled in providing culturally sensitive service, translating complex documentation, and navigating dual-language</w:t>
      </w:r>
      <w:r>
        <w:rPr>
          <w:color w:val="232323"/>
          <w:spacing w:val="80"/>
        </w:rPr>
        <w:t> </w:t>
      </w:r>
      <w:r>
        <w:rPr>
          <w:color w:val="232323"/>
        </w:rPr>
        <w:t>negotiations.</w:t>
      </w:r>
      <w:r>
        <w:rPr>
          <w:color w:val="232323"/>
          <w:spacing w:val="38"/>
        </w:rPr>
        <w:t> </w:t>
      </w:r>
      <w:r>
        <w:rPr>
          <w:color w:val="232323"/>
        </w:rPr>
        <w:t>Focused</w:t>
      </w:r>
      <w:r>
        <w:rPr>
          <w:color w:val="232323"/>
          <w:spacing w:val="38"/>
        </w:rPr>
        <w:t> </w:t>
      </w:r>
      <w:r>
        <w:rPr>
          <w:color w:val="232323"/>
        </w:rPr>
        <w:t>on</w:t>
      </w:r>
      <w:r>
        <w:rPr>
          <w:color w:val="232323"/>
          <w:spacing w:val="38"/>
        </w:rPr>
        <w:t> </w:t>
      </w:r>
      <w:r>
        <w:rPr>
          <w:color w:val="232323"/>
        </w:rPr>
        <w:t>helping</w:t>
      </w:r>
      <w:r>
        <w:rPr>
          <w:color w:val="232323"/>
          <w:spacing w:val="38"/>
        </w:rPr>
        <w:t> </w:t>
      </w:r>
      <w:r>
        <w:rPr>
          <w:color w:val="232323"/>
        </w:rPr>
        <w:t>Spanish-speaking</w:t>
      </w:r>
      <w:r>
        <w:rPr>
          <w:color w:val="232323"/>
          <w:spacing w:val="38"/>
        </w:rPr>
        <w:t> </w:t>
      </w:r>
      <w:r>
        <w:rPr>
          <w:color w:val="232323"/>
        </w:rPr>
        <w:t>buyers navigate first-time home purchases.</w:t>
      </w:r>
    </w:p>
    <w:p>
      <w:pPr>
        <w:spacing w:after="0" w:line="280" w:lineRule="auto"/>
        <w:sectPr>
          <w:type w:val="continuous"/>
          <w:pgSz w:w="11920" w:h="16860"/>
          <w:pgMar w:top="780" w:bottom="280" w:left="220" w:right="620"/>
          <w:cols w:num="2" w:equalWidth="0">
            <w:col w:w="2968" w:space="1403"/>
            <w:col w:w="670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62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462185</wp:posOffset>
                </wp:positionV>
                <wp:extent cx="1447800" cy="666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6.392574pt;width:114pt;height:5.25pt;mso-position-horizontal-relative:page;mso-position-vertical-relative:paragraph;z-index:15731200" id="docshapegroup1" coordorigin="330,728" coordsize="2280,105">
                <v:rect style="position:absolute;left:337;top:735;width:2265;height:90" id="docshape2" filled="false" stroked="true" strokeweight=".75pt" strokecolor="#2a98de">
                  <v:stroke dashstyle="solid"/>
                </v:rect>
                <v:rect style="position:absolute;left:345;top:742;width:2250;height:90" id="docshape3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A98DE"/>
          <w:w w:val="130"/>
        </w:rPr>
        <w:t>Key</w:t>
      </w:r>
      <w:r>
        <w:rPr>
          <w:color w:val="2A98DE"/>
          <w:spacing w:val="-17"/>
          <w:w w:val="130"/>
        </w:rPr>
        <w:t> </w:t>
      </w:r>
      <w:r>
        <w:rPr>
          <w:color w:val="2A98DE"/>
          <w:spacing w:val="-2"/>
          <w:w w:val="130"/>
        </w:rPr>
        <w:t>Skills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119"/>
        <w:rPr>
          <w:rFonts w:ascii="Calibri"/>
          <w:b/>
        </w:rPr>
      </w:pPr>
    </w:p>
    <w:p>
      <w:pPr>
        <w:pStyle w:val="BodyText"/>
        <w:spacing w:line="295" w:lineRule="auto"/>
        <w:ind w:left="114" w:right="477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245581</wp:posOffset>
                </wp:positionV>
                <wp:extent cx="1447800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37105pt;width:114pt;height:6pt;mso-position-horizontal-relative:page;mso-position-vertical-relative:paragraph;z-index:15731712" id="docshapegroup4" coordorigin="330,387" coordsize="2280,120">
                <v:rect style="position:absolute;left:337;top:394;width:2265;height:105" id="docshape5" filled="false" stroked="true" strokeweight=".75pt" strokecolor="#2a98de">
                  <v:stroke dashstyle="solid"/>
                </v:rect>
                <v:rect style="position:absolute;left:345;top:401;width:1800;height:90" id="docshape6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Bilingual client communication Buyer</w:t>
      </w:r>
      <w:r>
        <w:rPr>
          <w:spacing w:val="-4"/>
        </w:rPr>
        <w:t> </w:t>
      </w:r>
      <w:r>
        <w:rPr/>
        <w:t>representation</w:t>
      </w:r>
    </w:p>
    <w:p>
      <w:pPr>
        <w:pStyle w:val="BodyText"/>
        <w:spacing w:line="295" w:lineRule="auto" w:before="1"/>
        <w:ind w:left="114" w:right="54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46568</wp:posOffset>
                </wp:positionV>
                <wp:extent cx="144780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6685pt;width:114pt;height:6pt;mso-position-horizontal-relative:page;mso-position-vertical-relative:paragraph;z-index:15732224" id="docshapegroup7" coordorigin="330,73" coordsize="2280,120">
                <v:rect style="position:absolute;left:337;top:80;width:2265;height:105" id="docshape8" filled="false" stroked="true" strokeweight=".75pt" strokecolor="#2a98de">
                  <v:stroke dashstyle="solid"/>
                </v:rect>
                <v:rect style="position:absolute;left:345;top:88;width:1800;height:90" id="docshape9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246593</wp:posOffset>
                </wp:positionV>
                <wp:extent cx="144780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16849pt;width:114pt;height:6pt;mso-position-horizontal-relative:page;mso-position-vertical-relative:paragraph;z-index:15732736" id="docshapegroup10" coordorigin="330,388" coordsize="2280,120">
                <v:rect style="position:absolute;left:337;top:395;width:2265;height:105" id="docshape11" filled="false" stroked="true" strokeweight=".75pt" strokecolor="#2a98de">
                  <v:stroke dashstyle="solid"/>
                </v:rect>
                <v:rect style="position:absolute;left:345;top:403;width:1350;height:90" id="docshape12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446618</wp:posOffset>
                </wp:positionV>
                <wp:extent cx="144780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166847pt;width:114pt;height:6pt;mso-position-horizontal-relative:page;mso-position-vertical-relative:paragraph;z-index:15733248" id="docshapegroup13" coordorigin="330,703" coordsize="2280,120">
                <v:rect style="position:absolute;left:337;top:710;width:2265;height:105" id="docshape14" filled="false" stroked="true" strokeweight=".75pt" strokecolor="#2a98de">
                  <v:stroke dashstyle="solid"/>
                </v:rect>
                <v:rect style="position:absolute;left:345;top:718;width:1350;height:90" id="docshape15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Cross-cultural</w:t>
      </w:r>
      <w:r>
        <w:rPr>
          <w:spacing w:val="-4"/>
          <w:w w:val="105"/>
        </w:rPr>
        <w:t> </w:t>
      </w:r>
      <w:r>
        <w:rPr>
          <w:w w:val="105"/>
        </w:rPr>
        <w:t>sales support First-time buyer guidance Lead conversion</w:t>
      </w:r>
    </w:p>
    <w:p>
      <w:pPr>
        <w:pStyle w:val="BodyText"/>
        <w:spacing w:before="3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47453</wp:posOffset>
                </wp:positionV>
                <wp:extent cx="1447800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736465pt;width:114pt;height:6pt;mso-position-horizontal-relative:page;mso-position-vertical-relative:paragraph;z-index:15733760" id="docshapegroup16" coordorigin="330,75" coordsize="2280,120">
                <v:rect style="position:absolute;left:337;top:82;width:2265;height:105" id="docshape17" filled="false" stroked="true" strokeweight=".75pt" strokecolor="#2a98de">
                  <v:stroke dashstyle="solid"/>
                </v:rect>
                <v:rect style="position:absolute;left:345;top:89;width:1350;height:90" id="docshape18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MLS</w:t>
      </w:r>
      <w:r>
        <w:rPr>
          <w:spacing w:val="-14"/>
          <w:w w:val="120"/>
        </w:rPr>
        <w:t> </w:t>
      </w:r>
      <w:r>
        <w:rPr>
          <w:spacing w:val="-2"/>
          <w:w w:val="120"/>
        </w:rPr>
        <w:t>access</w:t>
      </w:r>
    </w:p>
    <w:p>
      <w:pPr>
        <w:pStyle w:val="BodyText"/>
        <w:spacing w:line="295" w:lineRule="auto" w:before="59"/>
        <w:ind w:left="114" w:right="552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83362</wp:posOffset>
                </wp:positionV>
                <wp:extent cx="1447800" cy="762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64003pt;width:114pt;height:6pt;mso-position-horizontal-relative:page;mso-position-vertical-relative:paragraph;z-index:15734272" id="docshapegroup19" coordorigin="330,131" coordsize="2280,120">
                <v:rect style="position:absolute;left:337;top:138;width:2265;height:105" id="docshape20" filled="false" stroked="true" strokeweight=".75pt" strokecolor="#2a98de">
                  <v:stroke dashstyle="solid"/>
                </v:rect>
                <v:rect style="position:absolute;left:345;top:146;width:900;height:105" id="docshape21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283387</wp:posOffset>
                </wp:positionV>
                <wp:extent cx="1447800" cy="76200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285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66675">
                                <a:moveTo>
                                  <a:pt x="285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14003pt;width:114pt;height:6pt;mso-position-horizontal-relative:page;mso-position-vertical-relative:paragraph;z-index:15734784" id="docshapegroup22" coordorigin="330,446" coordsize="2280,120">
                <v:rect style="position:absolute;left:337;top:453;width:2265;height:105" id="docshape23" filled="false" stroked="true" strokeweight=".75pt" strokecolor="#2a98de">
                  <v:stroke dashstyle="solid"/>
                </v:rect>
                <v:rect style="position:absolute;left:345;top:461;width:450;height:105" id="docshape24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Multilingual</w:t>
      </w:r>
      <w:r>
        <w:rPr>
          <w:spacing w:val="-21"/>
          <w:w w:val="105"/>
        </w:rPr>
        <w:t> </w:t>
      </w:r>
      <w:r>
        <w:rPr>
          <w:w w:val="105"/>
        </w:rPr>
        <w:t>documentation Residential</w:t>
      </w:r>
      <w:r>
        <w:rPr>
          <w:spacing w:val="-12"/>
          <w:w w:val="105"/>
        </w:rPr>
        <w:t> </w:t>
      </w:r>
      <w:r>
        <w:rPr>
          <w:w w:val="105"/>
        </w:rPr>
        <w:t>sales</w:t>
      </w:r>
    </w:p>
    <w:p>
      <w:pPr>
        <w:spacing w:after="0" w:line="295" w:lineRule="auto"/>
        <w:sectPr>
          <w:type w:val="continuous"/>
          <w:pgSz w:w="11920" w:h="16860"/>
          <w:pgMar w:top="780" w:bottom="280" w:left="220" w:right="620"/>
          <w:cols w:num="2" w:equalWidth="0">
            <w:col w:w="1445" w:space="1159"/>
            <w:col w:w="8476"/>
          </w:cols>
        </w:sectPr>
      </w:pPr>
    </w:p>
    <w:p>
      <w:pPr>
        <w:pStyle w:val="BodyText"/>
        <w:spacing w:before="154"/>
        <w:rPr>
          <w:sz w:val="26"/>
        </w:rPr>
      </w:pPr>
    </w:p>
    <w:p>
      <w:pPr>
        <w:pStyle w:val="Heading1"/>
      </w:pPr>
      <w:r>
        <w:rPr>
          <w:color w:val="2A98DE"/>
          <w:w w:val="125"/>
        </w:rPr>
        <w:t>Professional</w:t>
      </w:r>
      <w:r>
        <w:rPr>
          <w:color w:val="2A98DE"/>
          <w:spacing w:val="10"/>
          <w:w w:val="125"/>
        </w:rPr>
        <w:t> </w:t>
      </w:r>
      <w:r>
        <w:rPr>
          <w:color w:val="2A98DE"/>
          <w:spacing w:val="-2"/>
          <w:w w:val="125"/>
        </w:rPr>
        <w:t>Experience</w:t>
      </w:r>
    </w:p>
    <w:p>
      <w:pPr>
        <w:pStyle w:val="BodyText"/>
        <w:spacing w:before="5"/>
        <w:rPr>
          <w:rFonts w:ascii="Calibri"/>
          <w:b/>
          <w:sz w:val="9"/>
        </w:rPr>
      </w:pPr>
    </w:p>
    <w:p>
      <w:pPr>
        <w:spacing w:after="0"/>
        <w:rPr>
          <w:rFonts w:ascii="Calibri"/>
          <w:sz w:val="9"/>
        </w:rPr>
        <w:sectPr>
          <w:type w:val="continuous"/>
          <w:pgSz w:w="11920" w:h="16860"/>
          <w:pgMar w:top="780" w:bottom="280" w:left="220" w:right="620"/>
        </w:sectPr>
      </w:pPr>
    </w:p>
    <w:p>
      <w:pPr>
        <w:pStyle w:val="BodyText"/>
        <w:spacing w:line="280" w:lineRule="auto" w:before="104"/>
        <w:ind w:left="114" w:right="38"/>
      </w:pPr>
      <w:r>
        <w:rPr>
          <w:w w:val="105"/>
        </w:rPr>
        <w:t>February</w:t>
      </w:r>
      <w:r>
        <w:rPr>
          <w:spacing w:val="-19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 </w:t>
      </w:r>
      <w:r>
        <w:rPr>
          <w:spacing w:val="-2"/>
          <w:w w:val="105"/>
        </w:rPr>
        <w:t>Present</w:t>
      </w:r>
    </w:p>
    <w:p>
      <w:pPr>
        <w:tabs>
          <w:tab w:pos="2080" w:val="left" w:leader="none"/>
        </w:tabs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/>
          <w:b/>
          <w:spacing w:val="2"/>
          <w:w w:val="115"/>
          <w:sz w:val="18"/>
        </w:rPr>
        <w:t>Real</w:t>
      </w:r>
      <w:r>
        <w:rPr>
          <w:rFonts w:ascii="Calibri"/>
          <w:b/>
          <w:spacing w:val="54"/>
          <w:w w:val="115"/>
          <w:sz w:val="18"/>
        </w:rPr>
        <w:t> </w:t>
      </w:r>
      <w:r>
        <w:rPr>
          <w:rFonts w:ascii="Calibri"/>
          <w:b/>
          <w:spacing w:val="2"/>
          <w:w w:val="115"/>
          <w:sz w:val="18"/>
        </w:rPr>
        <w:t>Estate</w:t>
      </w:r>
      <w:r>
        <w:rPr>
          <w:rFonts w:ascii="Calibri"/>
          <w:b/>
          <w:spacing w:val="54"/>
          <w:w w:val="115"/>
          <w:sz w:val="18"/>
        </w:rPr>
        <w:t> </w:t>
      </w:r>
      <w:r>
        <w:rPr>
          <w:rFonts w:ascii="Calibri"/>
          <w:b/>
          <w:spacing w:val="-2"/>
          <w:w w:val="115"/>
          <w:sz w:val="18"/>
        </w:rPr>
        <w:t>Agent</w:t>
      </w:r>
      <w:r>
        <w:rPr>
          <w:rFonts w:ascii="Calibri"/>
          <w:b/>
          <w:sz w:val="18"/>
        </w:rPr>
        <w:tab/>
      </w:r>
      <w:r>
        <w:rPr>
          <w:i/>
          <w:spacing w:val="-2"/>
          <w:sz w:val="22"/>
        </w:rPr>
        <w:t>Mi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Casa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Realty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Group,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Phoenix,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AZ</w:t>
      </w:r>
    </w:p>
    <w:p>
      <w:pPr>
        <w:pStyle w:val="BodyText"/>
        <w:tabs>
          <w:tab w:pos="486" w:val="left" w:leader="none"/>
        </w:tabs>
        <w:spacing w:line="367" w:lineRule="auto" w:before="134"/>
        <w:ind w:left="131" w:right="70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Closed 36 home purchases in 2023, 70% from Spanish-speaking clients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Provided translated contracts and offered bilingual</w:t>
      </w:r>
      <w:r>
        <w:rPr>
          <w:spacing w:val="-7"/>
          <w:w w:val="105"/>
        </w:rPr>
        <w:t> </w:t>
      </w:r>
      <w:r>
        <w:rPr>
          <w:w w:val="105"/>
        </w:rPr>
        <w:t>home tours</w:t>
      </w:r>
    </w:p>
    <w:p>
      <w:pPr>
        <w:pStyle w:val="BodyText"/>
        <w:tabs>
          <w:tab w:pos="486" w:val="left" w:leader="none"/>
        </w:tabs>
        <w:spacing w:line="254" w:lineRule="exact"/>
        <w:ind w:left="13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Created</w:t>
      </w:r>
      <w:r>
        <w:rPr>
          <w:spacing w:val="10"/>
        </w:rPr>
        <w:t> </w:t>
      </w:r>
      <w:r>
        <w:rPr/>
        <w:t>bilingual</w:t>
      </w:r>
      <w:r>
        <w:rPr>
          <w:spacing w:val="-7"/>
        </w:rPr>
        <w:t> </w:t>
      </w:r>
      <w:r>
        <w:rPr/>
        <w:t>video</w:t>
      </w:r>
      <w:r>
        <w:rPr>
          <w:spacing w:val="11"/>
        </w:rPr>
        <w:t> </w:t>
      </w:r>
      <w:r>
        <w:rPr/>
        <w:t>content</w:t>
      </w:r>
      <w:r>
        <w:rPr>
          <w:spacing w:val="10"/>
        </w:rPr>
        <w:t> </w:t>
      </w:r>
      <w:r>
        <w:rPr/>
        <w:t>to</w:t>
      </w:r>
      <w:r>
        <w:rPr>
          <w:spacing w:val="11"/>
        </w:rPr>
        <w:t> </w:t>
      </w:r>
      <w:r>
        <w:rPr/>
        <w:t>market</w:t>
      </w:r>
      <w:r>
        <w:rPr>
          <w:spacing w:val="10"/>
        </w:rPr>
        <w:t> </w:t>
      </w:r>
      <w:r>
        <w:rPr/>
        <w:t>listings,</w:t>
      </w:r>
      <w:r>
        <w:rPr>
          <w:spacing w:val="11"/>
        </w:rPr>
        <w:t> </w:t>
      </w:r>
      <w:r>
        <w:rPr/>
        <w:t>increasing</w:t>
      </w:r>
      <w:r>
        <w:rPr>
          <w:spacing w:val="11"/>
        </w:rPr>
        <w:t> </w:t>
      </w:r>
      <w:r>
        <w:rPr/>
        <w:t>reach</w:t>
      </w:r>
      <w:r>
        <w:rPr>
          <w:spacing w:val="10"/>
        </w:rPr>
        <w:t> </w:t>
      </w:r>
      <w:r>
        <w:rPr/>
        <w:t>by</w:t>
      </w:r>
      <w:r>
        <w:rPr>
          <w:spacing w:val="3"/>
        </w:rPr>
        <w:t> </w:t>
      </w:r>
      <w:r>
        <w:rPr>
          <w:spacing w:val="-5"/>
        </w:rPr>
        <w:t>45%</w:t>
      </w:r>
    </w:p>
    <w:p>
      <w:pPr>
        <w:spacing w:after="0" w:line="254" w:lineRule="exact"/>
        <w:sectPr>
          <w:type w:val="continuous"/>
          <w:pgSz w:w="11920" w:h="16860"/>
          <w:pgMar w:top="780" w:bottom="280" w:left="220" w:right="620"/>
          <w:cols w:num="2" w:equalWidth="0">
            <w:col w:w="1787" w:space="817"/>
            <w:col w:w="8476"/>
          </w:cols>
        </w:sectPr>
      </w:pPr>
    </w:p>
    <w:p>
      <w:pPr>
        <w:pStyle w:val="BodyText"/>
        <w:spacing w:before="69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620"/>
        </w:sectPr>
      </w:pPr>
    </w:p>
    <w:p>
      <w:pPr>
        <w:pStyle w:val="BodyText"/>
        <w:spacing w:line="280" w:lineRule="auto" w:before="104"/>
        <w:ind w:left="114" w:right="38"/>
      </w:pPr>
      <w:r>
        <w:rPr>
          <w:spacing w:val="-2"/>
          <w:w w:val="105"/>
        </w:rPr>
        <w:t>July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2017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20"/>
          <w:w w:val="105"/>
        </w:rPr>
        <w:t> </w:t>
      </w:r>
      <w:r>
        <w:rPr>
          <w:spacing w:val="-2"/>
          <w:w w:val="105"/>
        </w:rPr>
        <w:t>January </w:t>
      </w:r>
      <w:r>
        <w:rPr>
          <w:spacing w:val="-4"/>
          <w:w w:val="105"/>
        </w:rPr>
        <w:t>2020</w:t>
      </w:r>
    </w:p>
    <w:p>
      <w:pPr>
        <w:tabs>
          <w:tab w:pos="1719" w:val="left" w:leader="none"/>
        </w:tabs>
        <w:spacing w:before="104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Calibri" w:hAnsi="Calibri"/>
          <w:b/>
          <w:spacing w:val="6"/>
          <w:w w:val="115"/>
          <w:sz w:val="18"/>
        </w:rPr>
        <w:t>Buyer’s</w:t>
      </w:r>
      <w:r>
        <w:rPr>
          <w:rFonts w:ascii="Calibri" w:hAnsi="Calibri"/>
          <w:b/>
          <w:spacing w:val="44"/>
          <w:w w:val="115"/>
          <w:sz w:val="18"/>
        </w:rPr>
        <w:t> </w:t>
      </w:r>
      <w:r>
        <w:rPr>
          <w:rFonts w:ascii="Calibri" w:hAnsi="Calibri"/>
          <w:b/>
          <w:spacing w:val="-2"/>
          <w:w w:val="115"/>
          <w:sz w:val="18"/>
        </w:rPr>
        <w:t>Agent</w:t>
      </w:r>
      <w:r>
        <w:rPr>
          <w:rFonts w:ascii="Calibri" w:hAnsi="Calibri"/>
          <w:b/>
          <w:sz w:val="18"/>
        </w:rPr>
        <w:tab/>
      </w:r>
      <w:r>
        <w:rPr>
          <w:i/>
          <w:w w:val="95"/>
          <w:sz w:val="22"/>
        </w:rPr>
        <w:t>Metro</w:t>
      </w:r>
      <w:r>
        <w:rPr>
          <w:i/>
          <w:spacing w:val="-1"/>
          <w:sz w:val="22"/>
        </w:rPr>
        <w:t> </w:t>
      </w:r>
      <w:r>
        <w:rPr>
          <w:i/>
          <w:w w:val="95"/>
          <w:sz w:val="22"/>
        </w:rPr>
        <w:t>Valley</w:t>
      </w:r>
      <w:r>
        <w:rPr>
          <w:i/>
          <w:spacing w:val="6"/>
          <w:sz w:val="22"/>
        </w:rPr>
        <w:t> </w:t>
      </w:r>
      <w:r>
        <w:rPr>
          <w:i/>
          <w:w w:val="95"/>
          <w:sz w:val="22"/>
        </w:rPr>
        <w:t>Homes,</w:t>
      </w:r>
      <w:r>
        <w:rPr>
          <w:i/>
          <w:spacing w:val="12"/>
          <w:sz w:val="22"/>
        </w:rPr>
        <w:t> </w:t>
      </w:r>
      <w:r>
        <w:rPr>
          <w:i/>
          <w:w w:val="95"/>
          <w:sz w:val="22"/>
        </w:rPr>
        <w:t>Phoenix,</w:t>
      </w:r>
      <w:r>
        <w:rPr>
          <w:i/>
          <w:spacing w:val="3"/>
          <w:sz w:val="22"/>
        </w:rPr>
        <w:t> </w:t>
      </w:r>
      <w:r>
        <w:rPr>
          <w:i/>
          <w:spacing w:val="-5"/>
          <w:w w:val="95"/>
          <w:sz w:val="22"/>
        </w:rPr>
        <w:t>AZ</w:t>
      </w:r>
    </w:p>
    <w:p>
      <w:pPr>
        <w:pStyle w:val="BodyText"/>
        <w:tabs>
          <w:tab w:pos="486" w:val="left" w:leader="none"/>
        </w:tabs>
        <w:spacing w:line="367" w:lineRule="auto" w:before="134"/>
        <w:ind w:left="131" w:right="42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-10"/>
          <w:w w:val="105"/>
        </w:rPr>
        <w:t> </w:t>
      </w:r>
      <w:r>
        <w:rPr>
          <w:w w:val="105"/>
        </w:rPr>
        <w:t>intake</w:t>
      </w:r>
      <w:r>
        <w:rPr>
          <w:spacing w:val="-10"/>
          <w:w w:val="105"/>
        </w:rPr>
        <w:t> </w:t>
      </w:r>
      <w:r>
        <w:rPr>
          <w:w w:val="105"/>
        </w:rPr>
        <w:t>interviews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English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Spanish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clarify</w:t>
      </w:r>
      <w:r>
        <w:rPr>
          <w:spacing w:val="-16"/>
          <w:w w:val="105"/>
        </w:rPr>
        <w:t> </w:t>
      </w:r>
      <w:r>
        <w:rPr>
          <w:w w:val="105"/>
        </w:rPr>
        <w:t>buyer</w:t>
      </w:r>
      <w:r>
        <w:rPr>
          <w:spacing w:val="-15"/>
          <w:w w:val="105"/>
        </w:rPr>
        <w:t> </w:t>
      </w:r>
      <w:r>
        <w:rPr>
          <w:w w:val="105"/>
        </w:rPr>
        <w:t>needs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Managed paperwork for conventional, FHA, and VA loan buyers</w:t>
      </w:r>
    </w:p>
    <w:p>
      <w:pPr>
        <w:pStyle w:val="BodyText"/>
        <w:tabs>
          <w:tab w:pos="486" w:val="left" w:leader="none"/>
        </w:tabs>
        <w:spacing w:line="254" w:lineRule="exact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Partnered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mortgage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brokers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support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pre-approval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process</w:t>
      </w:r>
    </w:p>
    <w:p>
      <w:pPr>
        <w:spacing w:after="0" w:line="254" w:lineRule="exact"/>
        <w:sectPr>
          <w:type w:val="continuous"/>
          <w:pgSz w:w="11920" w:h="16860"/>
          <w:pgMar w:top="780" w:bottom="280" w:left="220" w:right="620"/>
          <w:cols w:num="2" w:equalWidth="0">
            <w:col w:w="2102" w:space="502"/>
            <w:col w:w="8476"/>
          </w:cols>
        </w:sectPr>
      </w:pPr>
    </w:p>
    <w:p>
      <w:pPr>
        <w:pStyle w:val="BodyText"/>
        <w:spacing w:before="227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3200399</wp:posOffset>
                </wp:positionV>
                <wp:extent cx="7153275" cy="5715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51.999985pt;width:563.249955pt;height:4.5pt;mso-position-horizontal-relative:page;mso-position-vertical-relative:page;z-index:15728640" id="docshape25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5448299</wp:posOffset>
                </wp:positionV>
                <wp:extent cx="7153275" cy="57150"/>
                <wp:effectExtent l="0" t="0" r="0" b="0"/>
                <wp:wrapNone/>
                <wp:docPr id="32" name="Graphic 3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2" name="Graphic 32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28.999969pt;width:563.249955pt;height:4.5pt;mso-position-horizontal-relative:page;mso-position-vertical-relative:page;z-index:15729152" id="docshape26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8181974</wp:posOffset>
                </wp:positionV>
                <wp:extent cx="7153275" cy="5715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44.249939pt;width:563.249955pt;height:4.5pt;mso-position-horizontal-relative:page;mso-position-vertical-relative:page;z-index:15729664" id="docshape27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ge">
                  <wp:posOffset>9067799</wp:posOffset>
                </wp:positionV>
                <wp:extent cx="7153275" cy="57150"/>
                <wp:effectExtent l="0" t="0" r="0" b="0"/>
                <wp:wrapNone/>
                <wp:docPr id="34" name="Graphic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Graphic 34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13.999939pt;width:563.249955pt;height:4.5pt;mso-position-horizontal-relative:page;mso-position-vertical-relative:page;z-index:15730176" id="docshape28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2990849</wp:posOffset>
                </wp:positionH>
                <wp:positionV relativeFrom="page">
                  <wp:posOffset>533400</wp:posOffset>
                </wp:positionV>
                <wp:extent cx="4343400" cy="6667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42.000004pt;width:341.999973pt;height:5.25pt;mso-position-horizontal-relative:page;mso-position-vertical-relative:page;z-index:15730688" id="docshape29" filled="true" fillcolor="#2a98de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2A98DE"/>
          <w:spacing w:val="-2"/>
          <w:w w:val="130"/>
        </w:rPr>
        <w:t>Education</w:t>
      </w:r>
    </w:p>
    <w:p>
      <w:pPr>
        <w:tabs>
          <w:tab w:pos="7967" w:val="left" w:leader="none"/>
        </w:tabs>
        <w:spacing w:before="204"/>
        <w:ind w:left="2718" w:right="0" w:firstLine="0"/>
        <w:jc w:val="left"/>
        <w:rPr>
          <w:sz w:val="22"/>
        </w:rPr>
      </w:pPr>
      <w:r>
        <w:rPr>
          <w:rFonts w:ascii="Calibri"/>
          <w:b/>
          <w:w w:val="120"/>
          <w:sz w:val="18"/>
        </w:rPr>
        <w:t>Bachelor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rFonts w:ascii="Calibri"/>
          <w:b/>
          <w:w w:val="110"/>
          <w:sz w:val="18"/>
        </w:rPr>
        <w:t>of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Arts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in</w:t>
      </w:r>
      <w:r>
        <w:rPr>
          <w:rFonts w:ascii="Calibri"/>
          <w:b/>
          <w:spacing w:val="41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Spanish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and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Business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45"/>
          <w:w w:val="110"/>
          <w:sz w:val="18"/>
        </w:rPr>
        <w:t> </w:t>
      </w:r>
      <w:r>
        <w:rPr>
          <w:rFonts w:ascii="Calibri"/>
          <w:b/>
          <w:w w:val="110"/>
          <w:sz w:val="18"/>
        </w:rPr>
        <w:t>May</w:t>
      </w:r>
      <w:r>
        <w:rPr>
          <w:rFonts w:ascii="Calibri"/>
          <w:b/>
          <w:spacing w:val="44"/>
          <w:w w:val="110"/>
          <w:sz w:val="18"/>
        </w:rPr>
        <w:t> </w:t>
      </w:r>
      <w:r>
        <w:rPr>
          <w:rFonts w:ascii="Calibri"/>
          <w:b/>
          <w:spacing w:val="-4"/>
          <w:w w:val="110"/>
          <w:sz w:val="18"/>
        </w:rPr>
        <w:t>2017</w:t>
      </w:r>
      <w:r>
        <w:rPr>
          <w:rFonts w:ascii="Calibri"/>
          <w:b/>
          <w:sz w:val="18"/>
        </w:rPr>
        <w:tab/>
      </w:r>
      <w:r>
        <w:rPr>
          <w:sz w:val="22"/>
        </w:rPr>
        <w:t>Arizona</w:t>
      </w:r>
      <w:r>
        <w:rPr>
          <w:spacing w:val="8"/>
          <w:sz w:val="22"/>
        </w:rPr>
        <w:t> </w:t>
      </w:r>
      <w:r>
        <w:rPr>
          <w:sz w:val="22"/>
        </w:rPr>
        <w:t>State</w:t>
      </w:r>
      <w:r>
        <w:rPr>
          <w:spacing w:val="9"/>
          <w:sz w:val="22"/>
        </w:rPr>
        <w:t> </w:t>
      </w:r>
      <w:r>
        <w:rPr>
          <w:spacing w:val="-2"/>
          <w:sz w:val="22"/>
        </w:rPr>
        <w:t>University</w:t>
      </w:r>
    </w:p>
    <w:p>
      <w:pPr>
        <w:pStyle w:val="BodyText"/>
        <w:rPr>
          <w:sz w:val="26"/>
        </w:rPr>
      </w:pPr>
    </w:p>
    <w:p>
      <w:pPr>
        <w:pStyle w:val="BodyText"/>
        <w:spacing w:before="14"/>
        <w:rPr>
          <w:sz w:val="26"/>
        </w:rPr>
      </w:pPr>
    </w:p>
    <w:p>
      <w:pPr>
        <w:pStyle w:val="Heading1"/>
      </w:pPr>
      <w:r>
        <w:rPr>
          <w:color w:val="2A98DE"/>
          <w:spacing w:val="-2"/>
          <w:w w:val="125"/>
        </w:rPr>
        <w:t>Certifications</w:t>
      </w:r>
    </w:p>
    <w:p>
      <w:pPr>
        <w:tabs>
          <w:tab w:pos="7298" w:val="left" w:leader="none"/>
        </w:tabs>
        <w:spacing w:before="204"/>
        <w:ind w:left="2718" w:right="0" w:firstLine="0"/>
        <w:jc w:val="left"/>
        <w:rPr>
          <w:sz w:val="22"/>
        </w:rPr>
      </w:pPr>
      <w:r>
        <w:rPr>
          <w:rFonts w:ascii="Calibri"/>
          <w:b/>
          <w:w w:val="120"/>
          <w:sz w:val="18"/>
        </w:rPr>
        <w:t>Licensed</w:t>
      </w:r>
      <w:r>
        <w:rPr>
          <w:rFonts w:ascii="Calibri"/>
          <w:b/>
          <w:spacing w:val="50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Real</w:t>
      </w:r>
      <w:r>
        <w:rPr>
          <w:rFonts w:ascii="Calibri"/>
          <w:b/>
          <w:spacing w:val="51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Estate</w:t>
      </w:r>
      <w:r>
        <w:rPr>
          <w:rFonts w:ascii="Calibri"/>
          <w:b/>
          <w:spacing w:val="51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Salesperson</w:t>
      </w:r>
      <w:r>
        <w:rPr>
          <w:rFonts w:ascii="Calibri"/>
          <w:b/>
          <w:spacing w:val="50"/>
          <w:w w:val="120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51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June</w:t>
      </w:r>
      <w:r>
        <w:rPr>
          <w:rFonts w:ascii="Calibri"/>
          <w:b/>
          <w:spacing w:val="51"/>
          <w:w w:val="120"/>
          <w:sz w:val="18"/>
        </w:rPr>
        <w:t> </w:t>
      </w:r>
      <w:r>
        <w:rPr>
          <w:rFonts w:ascii="Calibri"/>
          <w:b/>
          <w:spacing w:val="-4"/>
          <w:w w:val="120"/>
          <w:sz w:val="18"/>
        </w:rPr>
        <w:t>2017</w:t>
      </w:r>
      <w:r>
        <w:rPr>
          <w:rFonts w:ascii="Calibri"/>
          <w:b/>
          <w:sz w:val="18"/>
        </w:rPr>
        <w:tab/>
      </w:r>
      <w:r>
        <w:rPr>
          <w:spacing w:val="-2"/>
          <w:sz w:val="22"/>
        </w:rPr>
        <w:t>(State</w:t>
      </w:r>
      <w:r>
        <w:rPr>
          <w:spacing w:val="-5"/>
          <w:sz w:val="22"/>
        </w:rPr>
        <w:t> </w:t>
      </w:r>
      <w:r>
        <w:rPr>
          <w:spacing w:val="-2"/>
          <w:sz w:val="22"/>
        </w:rPr>
        <w:t>of</w:t>
      </w:r>
      <w:r>
        <w:rPr>
          <w:spacing w:val="-18"/>
          <w:sz w:val="22"/>
        </w:rPr>
        <w:t> </w:t>
      </w:r>
      <w:r>
        <w:rPr>
          <w:spacing w:val="-2"/>
          <w:sz w:val="22"/>
        </w:rPr>
        <w:t>Arizona)</w:t>
      </w:r>
    </w:p>
    <w:sectPr>
      <w:type w:val="continuous"/>
      <w:pgSz w:w="11920" w:h="16860"/>
      <w:pgMar w:top="780" w:bottom="280" w:left="2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alle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2025-10-03T14:49:33Z</dcterms:created>
  <dcterms:modified xsi:type="dcterms:W3CDTF">2025-10-03T14:49:33Z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