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720" w:bottom="280" w:left="0" w:right="0"/>
        </w:sectPr>
      </w:pPr>
    </w:p>
    <w:p>
      <w:pPr>
        <w:pStyle w:val="BodyText"/>
        <w:spacing w:before="119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-783908</wp:posOffset>
                </wp:positionV>
                <wp:extent cx="7568565" cy="7429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742950"/>
                          <a:chExt cx="7568565" cy="7429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74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42950">
                                <a:moveTo>
                                  <a:pt x="7568183" y="742949"/>
                                </a:moveTo>
                                <a:lnTo>
                                  <a:pt x="0" y="742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42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742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4" w:right="1" w:firstLine="0"/>
                                <w:jc w:val="center"/>
                                <w:rPr>
                                  <w:rFonts w:ascii="Calibri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52"/>
                                </w:rPr>
                                <w:t>Skyler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35"/>
                                  <w:w w:val="130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52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before="49"/>
                                <w:ind w:left="4" w:right="0" w:firstLine="0"/>
                                <w:jc w:val="center"/>
                                <w:rPr>
                                  <w:rFonts w:ascii="Calibri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9"/>
                                </w:rPr>
                                <w:t>Mixed-Use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29"/>
                                  <w:w w:val="12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9"/>
                                </w:rPr>
                                <w:t>Development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29"/>
                                  <w:w w:val="12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29"/>
                                </w:rPr>
                                <w:t>Architect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61.725094pt;width:595.950pt;height:58.5pt;mso-position-horizontal-relative:page;mso-position-vertical-relative:paragraph;z-index:15730176" id="docshapegroup1" coordorigin="0,-1235" coordsize="11919,1170">
                <v:rect style="position:absolute;left:0;top:-1235;width:11919;height:1170" id="docshape2" filled="true" fillcolor="#094d73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235;width:11919;height:1170" type="#_x0000_t202" id="docshape3" filled="false" stroked="false">
                  <v:textbox inset="0,0,0,0">
                    <w:txbxContent>
                      <w:p>
                        <w:pPr>
                          <w:spacing w:before="30"/>
                          <w:ind w:left="4" w:right="1" w:firstLine="0"/>
                          <w:jc w:val="center"/>
                          <w:rPr>
                            <w:rFonts w:ascii="Calibri"/>
                            <w:b/>
                            <w:sz w:val="5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52"/>
                          </w:rPr>
                          <w:t>Skyler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35"/>
                            <w:w w:val="130"/>
                            <w:sz w:val="5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52"/>
                          </w:rPr>
                          <w:t>Lewis</w:t>
                        </w:r>
                      </w:p>
                      <w:p>
                        <w:pPr>
                          <w:spacing w:before="49"/>
                          <w:ind w:left="4" w:right="0" w:firstLine="0"/>
                          <w:jc w:val="center"/>
                          <w:rPr>
                            <w:rFonts w:ascii="Calibri"/>
                            <w:b/>
                            <w:sz w:val="29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9"/>
                          </w:rPr>
                          <w:t>Mixed-Use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29"/>
                            <w:w w:val="125"/>
                            <w:sz w:val="29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9"/>
                          </w:rPr>
                          <w:t>Development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29"/>
                            <w:w w:val="125"/>
                            <w:sz w:val="29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29"/>
                          </w:rPr>
                          <w:t>Architect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11"/>
        </w:rPr>
        <w:t>City,</w:t>
      </w:r>
      <w:r>
        <w:rPr>
          <w:spacing w:val="-1"/>
        </w:rPr>
        <w:t> </w:t>
      </w:r>
      <w:r>
        <w:rPr>
          <w:spacing w:val="-5"/>
        </w:rPr>
        <w:t>ST</w:t>
      </w:r>
    </w:p>
    <w:p>
      <w:pPr>
        <w:pStyle w:val="BodyText"/>
        <w:spacing w:before="134"/>
        <w:ind w:left="1338"/>
      </w:pPr>
      <w:r>
        <w:rPr/>
        <w:t>(555)</w:t>
      </w:r>
      <w:r>
        <w:rPr>
          <w:spacing w:val="17"/>
        </w:rPr>
        <w:t> </w:t>
      </w:r>
      <w:r>
        <w:rPr/>
        <w:t>400-</w:t>
      </w:r>
      <w:r>
        <w:rPr>
          <w:spacing w:val="-4"/>
        </w:rPr>
        <w:t>9988</w:t>
      </w:r>
    </w:p>
    <w:p>
      <w:pPr>
        <w:pStyle w:val="BodyText"/>
        <w:spacing w:before="104"/>
        <w:ind w:right="1333"/>
        <w:jc w:val="right"/>
      </w:pPr>
      <w:r>
        <w:rPr/>
        <w:br w:type="column"/>
      </w:r>
      <w:hyperlink r:id="rId5">
        <w:r>
          <w:rPr>
            <w:spacing w:val="-2"/>
          </w:rPr>
          <w:t>email@example.com</w:t>
        </w:r>
      </w:hyperlink>
    </w:p>
    <w:p>
      <w:pPr>
        <w:pStyle w:val="BodyText"/>
        <w:spacing w:before="89"/>
        <w:ind w:right="1333"/>
        <w:jc w:val="right"/>
      </w:pPr>
      <w:r>
        <w:rPr>
          <w:spacing w:val="-2"/>
        </w:rPr>
        <w:t>Portfolio</w:t>
      </w:r>
    </w:p>
    <w:p>
      <w:pPr>
        <w:spacing w:after="0"/>
        <w:jc w:val="right"/>
        <w:sectPr>
          <w:type w:val="continuous"/>
          <w:pgSz w:w="11920" w:h="16860"/>
          <w:pgMar w:top="720" w:bottom="280" w:left="0" w:right="0"/>
          <w:cols w:num="2" w:equalWidth="0">
            <w:col w:w="2936" w:space="4163"/>
            <w:col w:w="4821"/>
          </w:cols>
        </w:sectPr>
      </w:pPr>
    </w:p>
    <w:p>
      <w:pPr>
        <w:pStyle w:val="BodyText"/>
        <w:spacing w:before="119"/>
      </w:pPr>
    </w:p>
    <w:p>
      <w:pPr>
        <w:spacing w:before="0"/>
        <w:ind w:left="1338" w:right="0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Architect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specializing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high-density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urban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mixed-use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design</w:t>
      </w:r>
    </w:p>
    <w:p>
      <w:pPr>
        <w:spacing w:line="309" w:lineRule="auto" w:before="195"/>
        <w:ind w:left="1338" w:right="1336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Skyler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brings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13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years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creating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vibrant,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multi-purpose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spaces.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Skilled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at </w:t>
      </w:r>
      <w:r>
        <w:rPr>
          <w:b/>
          <w:w w:val="105"/>
          <w:sz w:val="22"/>
        </w:rPr>
        <w:t>unifying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residential,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commercial,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civic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functions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one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cohesive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development.</w:t>
      </w:r>
    </w:p>
    <w:p>
      <w:pPr>
        <w:pStyle w:val="BodyText"/>
        <w:spacing w:before="11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169952</wp:posOffset>
                </wp:positionV>
                <wp:extent cx="5876925" cy="1905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3.382073pt;width:462.749963pt;height:1.5pt;mso-position-horizontal-relative:page;mso-position-vertical-relative:paragraph;z-index:-15728640;mso-wrap-distance-left:0;mso-wrap-distance-right:0" id="docshape4" filled="true" fillcolor="#094d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0"/>
      </w:pPr>
      <w:r>
        <w:rPr>
          <w:color w:val="094D73"/>
          <w:w w:val="130"/>
        </w:rPr>
        <w:t>Key</w:t>
      </w:r>
      <w:r>
        <w:rPr>
          <w:color w:val="094D73"/>
          <w:spacing w:val="-10"/>
          <w:w w:val="130"/>
        </w:rPr>
        <w:t> </w:t>
      </w:r>
      <w:r>
        <w:rPr>
          <w:color w:val="094D73"/>
          <w:spacing w:val="-2"/>
          <w:w w:val="130"/>
        </w:rPr>
        <w:t>Skills</w:t>
      </w:r>
    </w:p>
    <w:p>
      <w:pPr>
        <w:pStyle w:val="BodyText"/>
        <w:tabs>
          <w:tab w:pos="6240" w:val="left" w:leader="none"/>
        </w:tabs>
        <w:spacing w:before="140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2209799</wp:posOffset>
                </wp:positionH>
                <wp:positionV relativeFrom="paragraph">
                  <wp:posOffset>115676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9.108396pt;width:110.25pt;height:9pt;mso-position-horizontal-relative:page;mso-position-vertical-relative:paragraph;z-index:-15780352" id="docshapegroup5" coordorigin="3480,182" coordsize="2205,180">
                <v:rect style="position:absolute;left:3487;top:189;width:2190;height:165" id="docshape6" filled="false" stroked="true" strokeweight=".75pt" strokecolor="#094d73">
                  <v:stroke dashstyle="solid"/>
                </v:rect>
                <v:rect style="position:absolute;left:3495;top:197;width:2175;height:165" id="docshape7" filled="true" fillcolor="#094d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115676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9.108396pt;width:110.25pt;height:9pt;mso-position-horizontal-relative:page;mso-position-vertical-relative:paragraph;z-index:15731200" id="docshapegroup8" coordorigin="8385,182" coordsize="2205,180">
                <v:rect style="position:absolute;left:8392;top:189;width:2190;height:165" id="docshape9" filled="false" stroked="true" strokeweight=".75pt" strokecolor="#094d73">
                  <v:stroke dashstyle="solid"/>
                </v:rect>
                <v:rect style="position:absolute;left:8400;top:197;width:1740;height:165" id="docshape10" filled="true" fillcolor="#094d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Urban </w:t>
      </w:r>
      <w:r>
        <w:rPr>
          <w:spacing w:val="-2"/>
          <w:w w:val="105"/>
        </w:rPr>
        <w:t>infill</w:t>
      </w:r>
      <w:r>
        <w:rPr/>
        <w:tab/>
      </w:r>
      <w:r>
        <w:rPr>
          <w:w w:val="105"/>
        </w:rPr>
        <w:t>Master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planning</w:t>
      </w:r>
    </w:p>
    <w:p>
      <w:pPr>
        <w:pStyle w:val="BodyText"/>
        <w:tabs>
          <w:tab w:pos="6240" w:val="left" w:leader="none"/>
        </w:tabs>
        <w:spacing w:before="165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2209799</wp:posOffset>
                </wp:positionH>
                <wp:positionV relativeFrom="paragraph">
                  <wp:posOffset>131266</wp:posOffset>
                </wp:positionV>
                <wp:extent cx="1400175" cy="12382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8286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0.335933pt;width:110.25pt;height:9.75pt;mso-position-horizontal-relative:page;mso-position-vertical-relative:paragraph;z-index:-15779328" id="docshapegroup11" coordorigin="3480,207" coordsize="2205,195">
                <v:rect style="position:absolute;left:3487;top:214;width:2190;height:180" id="docshape12" filled="false" stroked="true" strokeweight=".75pt" strokecolor="#094d73">
                  <v:stroke dashstyle="solid"/>
                </v:rect>
                <v:rect style="position:absolute;left:3495;top:221;width:1305;height:180" id="docshape13" filled="true" fillcolor="#094d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131266</wp:posOffset>
                </wp:positionV>
                <wp:extent cx="1400175" cy="12382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5524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14300">
                                <a:moveTo>
                                  <a:pt x="5524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0.335933pt;width:110.25pt;height:9.75pt;mso-position-horizontal-relative:page;mso-position-vertical-relative:paragraph;z-index:15732224" id="docshapegroup14" coordorigin="8385,207" coordsize="2205,195">
                <v:rect style="position:absolute;left:8392;top:214;width:2190;height:180" id="docshape15" filled="false" stroked="true" strokeweight=".75pt" strokecolor="#094d73">
                  <v:stroke dashstyle="solid"/>
                </v:rect>
                <v:rect style="position:absolute;left:8400;top:221;width:870;height:180" id="docshape16" filled="true" fillcolor="#094d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Zoning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analysis</w:t>
      </w:r>
      <w:r>
        <w:rPr/>
        <w:tab/>
      </w:r>
      <w:r>
        <w:rPr>
          <w:spacing w:val="-4"/>
          <w:w w:val="105"/>
        </w:rPr>
        <w:t>Revit</w:t>
      </w:r>
    </w:p>
    <w:p>
      <w:pPr>
        <w:pStyle w:val="BodyText"/>
        <w:spacing w:line="309" w:lineRule="auto" w:before="179"/>
        <w:ind w:left="1338" w:right="91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2209799</wp:posOffset>
                </wp:positionH>
                <wp:positionV relativeFrom="paragraph">
                  <wp:posOffset>245281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76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276224" y="0"/>
                                </a:lnTo>
                                <a:lnTo>
                                  <a:pt x="276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9.313469pt;width:110.25pt;height:9pt;mso-position-horizontal-relative:page;mso-position-vertical-relative:paragraph;z-index:15732736" id="docshapegroup17" coordorigin="3480,386" coordsize="2205,180">
                <v:rect style="position:absolute;left:3487;top:393;width:2190;height:165" id="docshape18" filled="false" stroked="true" strokeweight=".75pt" strokecolor="#094d73">
                  <v:stroke dashstyle="solid"/>
                </v:rect>
                <v:rect style="position:absolute;left:3495;top:401;width:435;height:165" id="docshape19" filled="true" fillcolor="#094d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10"/>
        </w:rPr>
        <w:t>Mixed-use programming</w:t>
      </w:r>
    </w:p>
    <w:p>
      <w:pPr>
        <w:pStyle w:val="BodyText"/>
        <w:spacing w:before="11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236988</wp:posOffset>
                </wp:positionV>
                <wp:extent cx="5876925" cy="19050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8.660517pt;width:462.749963pt;height:1.5pt;mso-position-horizontal-relative:page;mso-position-vertical-relative:paragraph;z-index:-15728128;mso-wrap-distance-left:0;mso-wrap-distance-right:0" id="docshape20" filled="true" fillcolor="#094d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75"/>
      </w:pPr>
      <w:r>
        <w:rPr>
          <w:color w:val="094D73"/>
          <w:w w:val="125"/>
        </w:rPr>
        <w:t>Professional</w:t>
      </w:r>
      <w:r>
        <w:rPr>
          <w:color w:val="094D73"/>
          <w:spacing w:val="31"/>
          <w:w w:val="130"/>
        </w:rPr>
        <w:t> </w:t>
      </w:r>
      <w:r>
        <w:rPr>
          <w:color w:val="094D73"/>
          <w:spacing w:val="-2"/>
          <w:w w:val="130"/>
        </w:rPr>
        <w:t>Experience</w:t>
      </w:r>
    </w:p>
    <w:p>
      <w:pPr>
        <w:spacing w:before="107"/>
        <w:ind w:left="1338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w w:val="125"/>
          <w:sz w:val="22"/>
        </w:rPr>
        <w:t>Senior</w:t>
      </w:r>
      <w:r>
        <w:rPr>
          <w:rFonts w:ascii="Calibri"/>
          <w:b/>
          <w:spacing w:val="10"/>
          <w:w w:val="125"/>
          <w:sz w:val="22"/>
        </w:rPr>
        <w:t> </w:t>
      </w:r>
      <w:r>
        <w:rPr>
          <w:rFonts w:ascii="Calibri"/>
          <w:b/>
          <w:spacing w:val="-2"/>
          <w:w w:val="125"/>
          <w:sz w:val="22"/>
        </w:rPr>
        <w:t>Architect</w:t>
      </w:r>
    </w:p>
    <w:p>
      <w:pPr>
        <w:tabs>
          <w:tab w:pos="8639" w:val="left" w:leader="none"/>
        </w:tabs>
        <w:spacing w:before="65"/>
        <w:ind w:left="133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UrbanCore</w:t>
      </w:r>
      <w:r>
        <w:rPr>
          <w:i/>
          <w:spacing w:val="1"/>
          <w:sz w:val="22"/>
        </w:rPr>
        <w:t> </w:t>
      </w:r>
      <w:r>
        <w:rPr>
          <w:i/>
          <w:spacing w:val="-4"/>
          <w:sz w:val="22"/>
        </w:rPr>
        <w:t>Group,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Atlanta,</w:t>
      </w:r>
      <w:r>
        <w:rPr>
          <w:i/>
          <w:spacing w:val="1"/>
          <w:sz w:val="22"/>
        </w:rPr>
        <w:t> </w:t>
      </w:r>
      <w:r>
        <w:rPr>
          <w:i/>
          <w:spacing w:val="-5"/>
          <w:sz w:val="22"/>
        </w:rPr>
        <w:t>GA</w:t>
      </w:r>
      <w:r>
        <w:rPr>
          <w:i/>
          <w:sz w:val="22"/>
        </w:rPr>
        <w:tab/>
        <w:t>June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2016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309" w:lineRule="auto" w:before="194"/>
        <w:ind w:left="1710" w:right="1336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Master planned a 2.3M square foot mixed-use district with residential, retail, and public </w:t>
      </w:r>
      <w:r>
        <w:rPr>
          <w:spacing w:val="-2"/>
        </w:rPr>
        <w:t>spaces</w:t>
      </w:r>
    </w:p>
    <w:p>
      <w:pPr>
        <w:pStyle w:val="BodyText"/>
        <w:tabs>
          <w:tab w:pos="1710" w:val="left" w:leader="none"/>
        </w:tabs>
        <w:spacing w:line="309" w:lineRule="auto" w:before="106"/>
        <w:ind w:left="1710" w:right="1495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</w:t>
      </w:r>
      <w:r>
        <w:rPr>
          <w:spacing w:val="-5"/>
          <w:w w:val="105"/>
        </w:rPr>
        <w:t> </w:t>
      </w:r>
      <w:r>
        <w:rPr>
          <w:w w:val="105"/>
        </w:rPr>
        <w:t>zoning</w:t>
      </w:r>
      <w:r>
        <w:rPr>
          <w:spacing w:val="-5"/>
          <w:w w:val="105"/>
        </w:rPr>
        <w:t> </w:t>
      </w:r>
      <w:r>
        <w:rPr>
          <w:w w:val="105"/>
        </w:rPr>
        <w:t>approvals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managed</w:t>
      </w:r>
      <w:r>
        <w:rPr>
          <w:spacing w:val="-5"/>
          <w:w w:val="105"/>
        </w:rPr>
        <w:t> </w:t>
      </w:r>
      <w:r>
        <w:rPr>
          <w:w w:val="105"/>
        </w:rPr>
        <w:t>design</w:t>
      </w:r>
      <w:r>
        <w:rPr>
          <w:spacing w:val="-5"/>
          <w:w w:val="105"/>
        </w:rPr>
        <w:t> </w:t>
      </w:r>
      <w:r>
        <w:rPr>
          <w:w w:val="105"/>
        </w:rPr>
        <w:t>charrettes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city</w:t>
      </w:r>
      <w:r>
        <w:rPr>
          <w:spacing w:val="-12"/>
          <w:w w:val="105"/>
        </w:rPr>
        <w:t> </w:t>
      </w:r>
      <w:r>
        <w:rPr>
          <w:w w:val="105"/>
        </w:rPr>
        <w:t>stakeholders and planners</w:t>
      </w:r>
    </w:p>
    <w:p>
      <w:pPr>
        <w:pStyle w:val="BodyText"/>
        <w:tabs>
          <w:tab w:pos="1710" w:val="left" w:leader="none"/>
        </w:tabs>
        <w:spacing w:line="408" w:lineRule="auto" w:before="91"/>
        <w:ind w:left="1364" w:right="1801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Led</w:t>
      </w:r>
      <w:r>
        <w:rPr>
          <w:spacing w:val="-12"/>
          <w:w w:val="105"/>
        </w:rPr>
        <w:t> </w:t>
      </w:r>
      <w:r>
        <w:rPr>
          <w:w w:val="105"/>
        </w:rPr>
        <w:t>architectural</w:t>
      </w:r>
      <w:r>
        <w:rPr>
          <w:spacing w:val="-19"/>
          <w:w w:val="105"/>
        </w:rPr>
        <w:t> </w:t>
      </w:r>
      <w:r>
        <w:rPr>
          <w:w w:val="105"/>
        </w:rPr>
        <w:t>teams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developing</w:t>
      </w:r>
      <w:r>
        <w:rPr>
          <w:spacing w:val="-12"/>
          <w:w w:val="105"/>
        </w:rPr>
        <w:t> </w:t>
      </w:r>
      <w:r>
        <w:rPr>
          <w:w w:val="105"/>
        </w:rPr>
        <w:t>site</w:t>
      </w:r>
      <w:r>
        <w:rPr>
          <w:spacing w:val="-12"/>
          <w:w w:val="105"/>
        </w:rPr>
        <w:t> </w:t>
      </w:r>
      <w:r>
        <w:rPr>
          <w:w w:val="105"/>
        </w:rPr>
        <w:t>plans,</w:t>
      </w:r>
      <w:r>
        <w:rPr>
          <w:spacing w:val="-12"/>
          <w:w w:val="105"/>
        </w:rPr>
        <w:t> </w:t>
      </w:r>
      <w:r>
        <w:rPr>
          <w:w w:val="105"/>
        </w:rPr>
        <w:t>massing</w:t>
      </w:r>
      <w:r>
        <w:rPr>
          <w:spacing w:val="-12"/>
          <w:w w:val="105"/>
        </w:rPr>
        <w:t> </w:t>
      </w:r>
      <w:r>
        <w:rPr>
          <w:w w:val="105"/>
        </w:rPr>
        <w:t>studies,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full</w:t>
      </w:r>
      <w:r>
        <w:rPr>
          <w:spacing w:val="-19"/>
          <w:w w:val="105"/>
        </w:rPr>
        <w:t> </w:t>
      </w:r>
      <w:r>
        <w:rPr>
          <w:w w:val="105"/>
        </w:rPr>
        <w:t>CD</w:t>
      </w:r>
      <w:r>
        <w:rPr>
          <w:spacing w:val="-12"/>
          <w:w w:val="105"/>
        </w:rPr>
        <w:t> </w:t>
      </w:r>
      <w:r>
        <w:rPr>
          <w:w w:val="105"/>
        </w:rPr>
        <w:t>sets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Secured a local design excellence award for urban innovation</w:t>
      </w:r>
    </w:p>
    <w:p>
      <w:pPr>
        <w:spacing w:before="14"/>
        <w:ind w:left="1338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spacing w:val="-2"/>
          <w:w w:val="130"/>
          <w:sz w:val="22"/>
        </w:rPr>
        <w:t>Architect</w:t>
      </w:r>
    </w:p>
    <w:p>
      <w:pPr>
        <w:tabs>
          <w:tab w:pos="8509" w:val="left" w:leader="none"/>
        </w:tabs>
        <w:spacing w:before="64"/>
        <w:ind w:left="133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Impact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Design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Studio,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Atlanta,</w:t>
      </w:r>
      <w:r>
        <w:rPr>
          <w:i/>
          <w:spacing w:val="-8"/>
          <w:sz w:val="22"/>
        </w:rPr>
        <w:t> </w:t>
      </w:r>
      <w:r>
        <w:rPr>
          <w:i/>
          <w:spacing w:val="-5"/>
          <w:sz w:val="22"/>
        </w:rPr>
        <w:t>GA</w:t>
      </w:r>
      <w:r>
        <w:rPr>
          <w:i/>
          <w:sz w:val="22"/>
        </w:rPr>
        <w:tab/>
        <w:t>May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2012</w:t>
      </w:r>
      <w:r>
        <w:rPr>
          <w:i/>
          <w:spacing w:val="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3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2"/>
          <w:sz w:val="22"/>
        </w:rPr>
        <w:t> </w:t>
      </w:r>
      <w:r>
        <w:rPr>
          <w:i/>
          <w:spacing w:val="-4"/>
          <w:sz w:val="22"/>
        </w:rPr>
        <w:t>2016</w:t>
      </w:r>
    </w:p>
    <w:p>
      <w:pPr>
        <w:pStyle w:val="BodyText"/>
        <w:tabs>
          <w:tab w:pos="1710" w:val="left" w:leader="none"/>
        </w:tabs>
        <w:spacing w:line="309" w:lineRule="auto" w:before="195"/>
        <w:ind w:left="1710" w:right="2107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</w:t>
      </w:r>
      <w:r>
        <w:rPr>
          <w:spacing w:val="-16"/>
          <w:w w:val="105"/>
        </w:rPr>
        <w:t> </w:t>
      </w:r>
      <w:r>
        <w:rPr>
          <w:w w:val="105"/>
        </w:rPr>
        <w:t>podium-style</w:t>
      </w:r>
      <w:r>
        <w:rPr>
          <w:spacing w:val="-16"/>
          <w:w w:val="105"/>
        </w:rPr>
        <w:t> </w:t>
      </w:r>
      <w:r>
        <w:rPr>
          <w:w w:val="105"/>
        </w:rPr>
        <w:t>mixed-use</w:t>
      </w:r>
      <w:r>
        <w:rPr>
          <w:spacing w:val="-16"/>
          <w:w w:val="105"/>
        </w:rPr>
        <w:t> </w:t>
      </w:r>
      <w:r>
        <w:rPr>
          <w:w w:val="105"/>
        </w:rPr>
        <w:t>buildings</w:t>
      </w:r>
      <w:r>
        <w:rPr>
          <w:spacing w:val="-16"/>
          <w:w w:val="105"/>
        </w:rPr>
        <w:t> </w:t>
      </w:r>
      <w:r>
        <w:rPr>
          <w:w w:val="105"/>
        </w:rPr>
        <w:t>that</w:t>
      </w:r>
      <w:r>
        <w:rPr>
          <w:spacing w:val="-16"/>
          <w:w w:val="105"/>
        </w:rPr>
        <w:t> </w:t>
      </w:r>
      <w:r>
        <w:rPr>
          <w:w w:val="105"/>
        </w:rPr>
        <w:t>integrated</w:t>
      </w:r>
      <w:r>
        <w:rPr>
          <w:spacing w:val="-16"/>
          <w:w w:val="105"/>
        </w:rPr>
        <w:t> </w:t>
      </w:r>
      <w:r>
        <w:rPr>
          <w:w w:val="105"/>
        </w:rPr>
        <w:t>parking,</w:t>
      </w:r>
      <w:r>
        <w:rPr>
          <w:spacing w:val="-16"/>
          <w:w w:val="105"/>
        </w:rPr>
        <w:t> </w:t>
      </w:r>
      <w:r>
        <w:rPr>
          <w:w w:val="105"/>
        </w:rPr>
        <w:t>retail,</w:t>
      </w:r>
      <w:r>
        <w:rPr>
          <w:spacing w:val="-16"/>
          <w:w w:val="105"/>
        </w:rPr>
        <w:t> </w:t>
      </w:r>
      <w:r>
        <w:rPr>
          <w:w w:val="105"/>
        </w:rPr>
        <w:t>and residential</w:t>
      </w:r>
      <w:r>
        <w:rPr>
          <w:spacing w:val="-12"/>
          <w:w w:val="105"/>
        </w:rPr>
        <w:t> </w:t>
      </w:r>
      <w:r>
        <w:rPr>
          <w:w w:val="105"/>
        </w:rPr>
        <w:t>spaces</w:t>
      </w:r>
    </w:p>
    <w:p>
      <w:pPr>
        <w:pStyle w:val="BodyText"/>
        <w:tabs>
          <w:tab w:pos="1710" w:val="left" w:leader="none"/>
        </w:tabs>
        <w:spacing w:line="309" w:lineRule="auto" w:before="106"/>
        <w:ind w:left="1710" w:right="1801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Worked closely with developers to align project goals with market demands and site</w:t>
      </w:r>
      <w:r>
        <w:rPr>
          <w:spacing w:val="80"/>
        </w:rPr>
        <w:t> </w:t>
      </w:r>
      <w:r>
        <w:rPr>
          <w:spacing w:val="-2"/>
        </w:rPr>
        <w:t>constraints</w:t>
      </w:r>
    </w:p>
    <w:p>
      <w:pPr>
        <w:pStyle w:val="BodyText"/>
        <w:tabs>
          <w:tab w:pos="1710" w:val="left" w:leader="none"/>
        </w:tabs>
        <w:spacing w:before="91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</w:t>
      </w:r>
      <w:r>
        <w:rPr>
          <w:spacing w:val="-10"/>
          <w:w w:val="105"/>
        </w:rPr>
        <w:t> </w:t>
      </w:r>
      <w:r>
        <w:rPr>
          <w:w w:val="105"/>
        </w:rPr>
        <w:t>zoning</w:t>
      </w:r>
      <w:r>
        <w:rPr>
          <w:spacing w:val="-9"/>
          <w:w w:val="105"/>
        </w:rPr>
        <w:t> </w:t>
      </w:r>
      <w:r>
        <w:rPr>
          <w:w w:val="105"/>
        </w:rPr>
        <w:t>code</w:t>
      </w:r>
      <w:r>
        <w:rPr>
          <w:spacing w:val="-9"/>
          <w:w w:val="105"/>
        </w:rPr>
        <w:t> </w:t>
      </w:r>
      <w:r>
        <w:rPr>
          <w:w w:val="105"/>
        </w:rPr>
        <w:t>research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prepared</w:t>
      </w:r>
      <w:r>
        <w:rPr>
          <w:spacing w:val="-9"/>
          <w:w w:val="105"/>
        </w:rPr>
        <w:t> </w:t>
      </w:r>
      <w:r>
        <w:rPr>
          <w:w w:val="105"/>
        </w:rPr>
        <w:t>entitlement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packages</w:t>
      </w:r>
    </w:p>
    <w:p>
      <w:pPr>
        <w:pStyle w:val="BodyText"/>
        <w:tabs>
          <w:tab w:pos="1710" w:val="left" w:leader="none"/>
        </w:tabs>
        <w:spacing w:before="179"/>
        <w:ind w:left="136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Participated</w:t>
      </w:r>
      <w:r>
        <w:rPr>
          <w:spacing w:val="12"/>
        </w:rPr>
        <w:t> </w:t>
      </w:r>
      <w:r>
        <w:rPr/>
        <w:t>in</w:t>
      </w:r>
      <w:r>
        <w:rPr>
          <w:spacing w:val="12"/>
        </w:rPr>
        <w:t> </w:t>
      </w:r>
      <w:r>
        <w:rPr/>
        <w:t>public</w:t>
      </w:r>
      <w:r>
        <w:rPr>
          <w:spacing w:val="13"/>
        </w:rPr>
        <w:t> </w:t>
      </w:r>
      <w:r>
        <w:rPr/>
        <w:t>hearings</w:t>
      </w:r>
      <w:r>
        <w:rPr>
          <w:spacing w:val="12"/>
        </w:rPr>
        <w:t> </w:t>
      </w:r>
      <w:r>
        <w:rPr/>
        <w:t>to</w:t>
      </w:r>
      <w:r>
        <w:rPr>
          <w:spacing w:val="12"/>
        </w:rPr>
        <w:t> </w:t>
      </w:r>
      <w:r>
        <w:rPr/>
        <w:t>gain</w:t>
      </w:r>
      <w:r>
        <w:rPr>
          <w:spacing w:val="13"/>
        </w:rPr>
        <w:t> </w:t>
      </w:r>
      <w:r>
        <w:rPr/>
        <w:t>approvals</w:t>
      </w:r>
      <w:r>
        <w:rPr>
          <w:spacing w:val="12"/>
        </w:rPr>
        <w:t> </w:t>
      </w:r>
      <w:r>
        <w:rPr/>
        <w:t>for</w:t>
      </w:r>
      <w:r>
        <w:rPr>
          <w:spacing w:val="5"/>
        </w:rPr>
        <w:t> </w:t>
      </w:r>
      <w:r>
        <w:rPr/>
        <w:t>density</w:t>
      </w:r>
      <w:r>
        <w:rPr>
          <w:spacing w:val="4"/>
        </w:rPr>
        <w:t> </w:t>
      </w:r>
      <w:r>
        <w:rPr/>
        <w:t>and</w:t>
      </w:r>
      <w:r>
        <w:rPr>
          <w:spacing w:val="13"/>
        </w:rPr>
        <w:t> </w:t>
      </w:r>
      <w:r>
        <w:rPr/>
        <w:t>height</w:t>
      </w:r>
      <w:r>
        <w:rPr>
          <w:spacing w:val="4"/>
        </w:rPr>
        <w:t> </w:t>
      </w:r>
      <w:r>
        <w:rPr>
          <w:spacing w:val="-2"/>
        </w:rPr>
        <w:t>variances</w:t>
      </w:r>
    </w:p>
    <w:p>
      <w:pPr>
        <w:pStyle w:val="BodyText"/>
        <w:spacing w:before="8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216851</wp:posOffset>
                </wp:positionV>
                <wp:extent cx="5876925" cy="19050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7.074894pt;width:462.749963pt;height:1.5pt;mso-position-horizontal-relative:page;mso-position-vertical-relative:paragraph;z-index:-15727616;mso-wrap-distance-left:0;mso-wrap-distance-right:0" id="docshape21" filled="true" fillcolor="#094d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94D73"/>
          <w:spacing w:val="-2"/>
          <w:w w:val="130"/>
        </w:rPr>
        <w:t>Education</w:t>
      </w:r>
    </w:p>
    <w:p>
      <w:pPr>
        <w:spacing w:line="405" w:lineRule="auto" w:before="137"/>
        <w:ind w:left="1338" w:right="4961" w:firstLine="0"/>
        <w:jc w:val="left"/>
        <w:rPr>
          <w:sz w:val="22"/>
        </w:rPr>
      </w:pPr>
      <w:r>
        <w:rPr>
          <w:rFonts w:ascii="Calibri"/>
          <w:b/>
          <w:w w:val="110"/>
          <w:sz w:val="22"/>
        </w:rPr>
        <w:t>Bachelor</w:t>
      </w:r>
      <w:r>
        <w:rPr>
          <w:rFonts w:ascii="Calibri"/>
          <w:b/>
          <w:spacing w:val="63"/>
          <w:w w:val="110"/>
          <w:sz w:val="22"/>
        </w:rPr>
        <w:t> </w:t>
      </w:r>
      <w:r>
        <w:rPr>
          <w:rFonts w:ascii="Calibri"/>
          <w:b/>
          <w:w w:val="110"/>
          <w:sz w:val="22"/>
        </w:rPr>
        <w:t>of</w:t>
      </w:r>
      <w:r>
        <w:rPr>
          <w:rFonts w:ascii="Calibri"/>
          <w:b/>
          <w:spacing w:val="63"/>
          <w:w w:val="110"/>
          <w:sz w:val="22"/>
        </w:rPr>
        <w:t> </w:t>
      </w:r>
      <w:r>
        <w:rPr>
          <w:rFonts w:ascii="Calibri"/>
          <w:b/>
          <w:w w:val="110"/>
          <w:sz w:val="22"/>
        </w:rPr>
        <w:t>Architecture</w:t>
      </w:r>
      <w:r>
        <w:rPr>
          <w:rFonts w:ascii="Calibri"/>
          <w:b/>
          <w:spacing w:val="63"/>
          <w:w w:val="110"/>
          <w:sz w:val="22"/>
        </w:rPr>
        <w:t> </w:t>
      </w:r>
      <w:r>
        <w:rPr>
          <w:rFonts w:ascii="Calibri"/>
          <w:b/>
          <w:w w:val="110"/>
          <w:sz w:val="22"/>
        </w:rPr>
        <w:t>(B.Arch)</w:t>
      </w:r>
      <w:r>
        <w:rPr>
          <w:rFonts w:ascii="Calibri"/>
          <w:b/>
          <w:spacing w:val="40"/>
          <w:w w:val="110"/>
          <w:sz w:val="22"/>
        </w:rPr>
        <w:t>  </w:t>
      </w:r>
      <w:r>
        <w:rPr>
          <w:w w:val="110"/>
          <w:sz w:val="22"/>
        </w:rPr>
        <w:t>May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2012 </w:t>
      </w:r>
      <w:r>
        <w:rPr>
          <w:sz w:val="22"/>
        </w:rPr>
        <w:t>Savannah</w:t>
      </w:r>
      <w:r>
        <w:rPr>
          <w:spacing w:val="33"/>
          <w:sz w:val="22"/>
        </w:rPr>
        <w:t> </w:t>
      </w:r>
      <w:r>
        <w:rPr>
          <w:sz w:val="22"/>
        </w:rPr>
        <w:t>College</w:t>
      </w:r>
      <w:r>
        <w:rPr>
          <w:spacing w:val="33"/>
          <w:sz w:val="22"/>
        </w:rPr>
        <w:t> </w:t>
      </w:r>
      <w:r>
        <w:rPr>
          <w:sz w:val="22"/>
        </w:rPr>
        <w:t>of Art</w:t>
      </w:r>
      <w:r>
        <w:rPr>
          <w:spacing w:val="33"/>
          <w:sz w:val="22"/>
        </w:rPr>
        <w:t> </w:t>
      </w:r>
      <w:r>
        <w:rPr>
          <w:sz w:val="22"/>
        </w:rPr>
        <w:t>and</w:t>
      </w:r>
      <w:r>
        <w:rPr>
          <w:spacing w:val="33"/>
          <w:sz w:val="22"/>
        </w:rPr>
        <w:t> </w:t>
      </w:r>
      <w:r>
        <w:rPr>
          <w:sz w:val="22"/>
        </w:rPr>
        <w:t>Design,</w:t>
      </w:r>
      <w:r>
        <w:rPr>
          <w:spacing w:val="33"/>
          <w:sz w:val="22"/>
        </w:rPr>
        <w:t> </w:t>
      </w:r>
      <w:r>
        <w:rPr>
          <w:sz w:val="22"/>
        </w:rPr>
        <w:t>Savannah,</w:t>
      </w:r>
      <w:r>
        <w:rPr>
          <w:spacing w:val="33"/>
          <w:sz w:val="22"/>
        </w:rPr>
        <w:t> </w:t>
      </w:r>
      <w:r>
        <w:rPr>
          <w:sz w:val="22"/>
        </w:rPr>
        <w:t>GA</w:t>
      </w:r>
    </w:p>
    <w:sectPr>
      <w:type w:val="continuous"/>
      <w:pgSz w:w="11920" w:h="16860"/>
      <w:pgMar w:top="7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5"/>
      <w:ind w:left="1338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2025-10-03T11:23:56Z</dcterms:created>
  <dcterms:modified xsi:type="dcterms:W3CDTF">2025-10-03T11:23:56Z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