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5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85" w:lineRule="auto"/>
      </w:pPr>
      <w:r>
        <w:rPr>
          <w:color w:val="E37829"/>
          <w:spacing w:val="-8"/>
        </w:rPr>
        <w:t>LOGAN </w:t>
      </w:r>
      <w:r>
        <w:rPr>
          <w:color w:val="E37829"/>
          <w:spacing w:val="-10"/>
        </w:rPr>
        <w:t>HALL</w:t>
      </w:r>
    </w:p>
    <w:p>
      <w:pPr>
        <w:spacing w:before="81"/>
        <w:ind w:left="2377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sz w:val="33"/>
        </w:rPr>
        <w:t>Real</w:t>
      </w:r>
      <w:r>
        <w:rPr>
          <w:rFonts w:ascii="Arial"/>
          <w:b/>
          <w:color w:val="58585B"/>
          <w:spacing w:val="17"/>
          <w:sz w:val="33"/>
        </w:rPr>
        <w:t> </w:t>
      </w:r>
      <w:r>
        <w:rPr>
          <w:rFonts w:ascii="Arial"/>
          <w:b/>
          <w:color w:val="58585B"/>
          <w:sz w:val="33"/>
        </w:rPr>
        <w:t>Estate</w:t>
      </w:r>
      <w:r>
        <w:rPr>
          <w:rFonts w:ascii="Arial"/>
          <w:b/>
          <w:color w:val="58585B"/>
          <w:spacing w:val="18"/>
          <w:sz w:val="33"/>
        </w:rPr>
        <w:t> </w:t>
      </w:r>
      <w:r>
        <w:rPr>
          <w:rFonts w:ascii="Arial"/>
          <w:b/>
          <w:color w:val="58585B"/>
          <w:sz w:val="33"/>
        </w:rPr>
        <w:t>Property</w:t>
      </w:r>
      <w:r>
        <w:rPr>
          <w:rFonts w:ascii="Arial"/>
          <w:b/>
          <w:color w:val="58585B"/>
          <w:spacing w:val="18"/>
          <w:sz w:val="33"/>
        </w:rPr>
        <w:t> </w:t>
      </w:r>
      <w:r>
        <w:rPr>
          <w:rFonts w:ascii="Arial"/>
          <w:b/>
          <w:color w:val="58585B"/>
          <w:spacing w:val="-2"/>
          <w:sz w:val="33"/>
        </w:rPr>
        <w:t>Manager</w:t>
      </w:r>
    </w:p>
    <w:p>
      <w:pPr>
        <w:pStyle w:val="BodyText"/>
        <w:spacing w:before="19"/>
        <w:rPr>
          <w:rFonts w:ascii="Arial"/>
          <w:b/>
          <w:sz w:val="33"/>
        </w:rPr>
      </w:pPr>
    </w:p>
    <w:p>
      <w:pPr>
        <w:pStyle w:val="BodyText"/>
        <w:spacing w:line="280" w:lineRule="auto"/>
        <w:ind w:left="5097" w:firstLine="1354"/>
        <w:jc w:val="right"/>
      </w:pPr>
      <w:r>
        <w:rPr>
          <w:color w:val="58585B"/>
          <w:spacing w:val="-6"/>
        </w:rPr>
        <w:t>City,</w:t>
      </w:r>
      <w:r>
        <w:rPr>
          <w:color w:val="58585B"/>
          <w:spacing w:val="-12"/>
        </w:rPr>
        <w:t> </w:t>
      </w:r>
      <w:r>
        <w:rPr>
          <w:color w:val="58585B"/>
          <w:spacing w:val="-6"/>
        </w:rPr>
        <w:t>ST </w:t>
      </w:r>
      <w:hyperlink r:id="rId5">
        <w:r>
          <w:rPr>
            <w:color w:val="58585B"/>
            <w:spacing w:val="-2"/>
          </w:rPr>
          <w:t>email@example.com</w:t>
        </w:r>
      </w:hyperlink>
    </w:p>
    <w:p>
      <w:pPr>
        <w:spacing w:before="3"/>
        <w:ind w:left="0" w:right="0" w:firstLine="0"/>
        <w:jc w:val="right"/>
        <w:rPr>
          <w:i/>
          <w:sz w:val="22"/>
        </w:rPr>
      </w:pPr>
      <w:r>
        <w:rPr>
          <w:i/>
          <w:color w:val="58585B"/>
          <w:sz w:val="22"/>
        </w:rPr>
        <w:t>(123)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456-</w:t>
      </w:r>
      <w:r>
        <w:rPr>
          <w:i/>
          <w:color w:val="58585B"/>
          <w:spacing w:val="-4"/>
          <w:sz w:val="22"/>
        </w:rPr>
        <w:t>7890</w:t>
      </w:r>
    </w:p>
    <w:p>
      <w:pPr>
        <w:pStyle w:val="Heading2"/>
        <w:spacing w:line="280" w:lineRule="auto"/>
        <w:ind w:left="610" w:right="187"/>
      </w:pPr>
      <w:r>
        <w:rPr>
          <w:b w:val="0"/>
        </w:rPr>
        <w:br w:type="column"/>
      </w:r>
      <w:r>
        <w:rPr>
          <w:color w:val="58585B"/>
        </w:rPr>
        <w:t>Real Estate Property Manager </w:t>
      </w:r>
      <w:r>
        <w:rPr>
          <w:color w:val="58585B"/>
          <w:spacing w:val="-4"/>
        </w:rPr>
        <w:t>with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experience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across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residential </w:t>
      </w:r>
      <w:r>
        <w:rPr>
          <w:color w:val="58585B"/>
        </w:rPr>
        <w:t>and retail investments</w:t>
      </w:r>
    </w:p>
    <w:p>
      <w:pPr>
        <w:pStyle w:val="BodyText"/>
        <w:spacing w:line="280" w:lineRule="auto" w:before="108"/>
        <w:ind w:left="610" w:right="187"/>
      </w:pPr>
      <w:r>
        <w:rPr>
          <w:color w:val="58585B"/>
        </w:rPr>
        <w:t>10+ years overseeing the performance</w:t>
      </w:r>
      <w:r>
        <w:rPr>
          <w:color w:val="58585B"/>
          <w:spacing w:val="-6"/>
        </w:rPr>
        <w:t> </w:t>
      </w:r>
      <w:r>
        <w:rPr>
          <w:color w:val="58585B"/>
        </w:rPr>
        <w:t>of</w:t>
      </w:r>
      <w:r>
        <w:rPr>
          <w:color w:val="58585B"/>
          <w:spacing w:val="-6"/>
        </w:rPr>
        <w:t> </w:t>
      </w:r>
      <w:r>
        <w:rPr>
          <w:color w:val="58585B"/>
        </w:rPr>
        <w:t>income-producing properties for real estate firms.</w:t>
      </w:r>
    </w:p>
    <w:p>
      <w:pPr>
        <w:pStyle w:val="BodyText"/>
        <w:spacing w:line="280" w:lineRule="auto" w:before="3"/>
        <w:ind w:left="610" w:right="187"/>
      </w:pPr>
      <w:r>
        <w:rPr>
          <w:color w:val="58585B"/>
        </w:rPr>
        <w:t>Proficient</w:t>
      </w:r>
      <w:r>
        <w:rPr>
          <w:color w:val="58585B"/>
          <w:spacing w:val="-13"/>
        </w:rPr>
        <w:t> </w:t>
      </w:r>
      <w:r>
        <w:rPr>
          <w:color w:val="58585B"/>
        </w:rPr>
        <w:t>in</w:t>
      </w:r>
      <w:r>
        <w:rPr>
          <w:color w:val="58585B"/>
          <w:spacing w:val="-13"/>
        </w:rPr>
        <w:t> </w:t>
      </w:r>
      <w:r>
        <w:rPr>
          <w:color w:val="58585B"/>
        </w:rPr>
        <w:t>maximizing</w:t>
      </w:r>
      <w:r>
        <w:rPr>
          <w:color w:val="58585B"/>
          <w:spacing w:val="-13"/>
        </w:rPr>
        <w:t> </w:t>
      </w:r>
      <w:r>
        <w:rPr>
          <w:color w:val="58585B"/>
        </w:rPr>
        <w:t>ROI</w:t>
      </w:r>
      <w:r>
        <w:rPr>
          <w:color w:val="58585B"/>
          <w:spacing w:val="-13"/>
        </w:rPr>
        <w:t> </w:t>
      </w:r>
      <w:r>
        <w:rPr>
          <w:color w:val="58585B"/>
        </w:rPr>
        <w:t>and maintaining tenant satisfaction.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E37829"/>
          <w:spacing w:val="-10"/>
        </w:rPr>
        <w:t>KEY</w:t>
      </w:r>
      <w:r>
        <w:rPr>
          <w:color w:val="E37829"/>
          <w:spacing w:val="-9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03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CAM</w:t>
      </w:r>
      <w:r>
        <w:rPr>
          <w:color w:val="58585B"/>
          <w:spacing w:val="3"/>
          <w:w w:val="110"/>
        </w:rPr>
        <w:t> </w:t>
      </w:r>
      <w:r>
        <w:rPr>
          <w:color w:val="58585B"/>
          <w:spacing w:val="-2"/>
          <w:w w:val="110"/>
        </w:rPr>
        <w:t>charges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80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Investment</w:t>
      </w:r>
      <w:r>
        <w:rPr>
          <w:color w:val="58585B"/>
          <w:spacing w:val="-17"/>
        </w:rPr>
        <w:t> </w:t>
      </w:r>
      <w:r>
        <w:rPr>
          <w:color w:val="58585B"/>
        </w:rPr>
        <w:t>property</w:t>
      </w:r>
      <w:r>
        <w:rPr>
          <w:color w:val="58585B"/>
          <w:spacing w:val="-17"/>
        </w:rPr>
        <w:t> </w:t>
      </w:r>
      <w:r>
        <w:rPr>
          <w:color w:val="58585B"/>
        </w:rPr>
        <w:t>oversight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Lease escalations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Market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analysis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Portfolio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reporting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836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Property</w:t>
      </w:r>
      <w:r>
        <w:rPr>
          <w:color w:val="58585B"/>
          <w:spacing w:val="-17"/>
        </w:rPr>
        <w:t> </w:t>
      </w:r>
      <w:r>
        <w:rPr>
          <w:color w:val="58585B"/>
        </w:rPr>
        <w:t>valuation</w:t>
      </w:r>
      <w:r>
        <w:rPr>
          <w:color w:val="58585B"/>
          <w:spacing w:val="-17"/>
        </w:rPr>
        <w:t> </w:t>
      </w:r>
      <w:r>
        <w:rPr>
          <w:color w:val="58585B"/>
        </w:rPr>
        <w:t>support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Rental income strategy</w:t>
      </w:r>
    </w:p>
    <w:p>
      <w:pPr>
        <w:pStyle w:val="BodyText"/>
        <w:spacing w:before="3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120651</wp:posOffset>
                </wp:positionV>
                <wp:extent cx="71532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500142pt;width:563.249955pt;height:.75pt;mso-position-horizontal-relative:page;mso-position-vertical-relative:paragraph;z-index:-15728128;mso-wrap-distance-left:0;mso-wrap-distance-right:0" id="docshape3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1"/>
      </w:pPr>
      <w:r>
        <w:rPr>
          <w:color w:val="E37829"/>
          <w:spacing w:val="-9"/>
        </w:rPr>
        <w:t>PROFESSIONAL</w:t>
      </w:r>
      <w:r>
        <w:rPr>
          <w:color w:val="E37829"/>
          <w:spacing w:val="5"/>
        </w:rPr>
        <w:t> </w:t>
      </w:r>
      <w:r>
        <w:rPr>
          <w:color w:val="E37829"/>
          <w:spacing w:val="-2"/>
        </w:rPr>
        <w:t>EXPERIENCE</w:t>
      </w:r>
    </w:p>
    <w:p>
      <w:pPr>
        <w:tabs>
          <w:tab w:pos="6300" w:val="left" w:leader="none"/>
        </w:tabs>
        <w:spacing w:before="208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58585B"/>
          <w:spacing w:val="-4"/>
          <w:w w:val="95"/>
          <w:sz w:val="22"/>
        </w:rPr>
        <w:t>REAL</w:t>
      </w:r>
      <w:r>
        <w:rPr>
          <w:rFonts w:ascii="Arial"/>
          <w:b/>
          <w:color w:val="58585B"/>
          <w:spacing w:val="-7"/>
          <w:w w:val="95"/>
          <w:sz w:val="22"/>
        </w:rPr>
        <w:t> </w:t>
      </w:r>
      <w:r>
        <w:rPr>
          <w:rFonts w:ascii="Arial"/>
          <w:b/>
          <w:color w:val="58585B"/>
          <w:spacing w:val="-4"/>
          <w:w w:val="95"/>
          <w:sz w:val="22"/>
        </w:rPr>
        <w:t>ESTATE</w:t>
      </w:r>
      <w:r>
        <w:rPr>
          <w:rFonts w:ascii="Arial"/>
          <w:b/>
          <w:color w:val="58585B"/>
          <w:spacing w:val="-6"/>
          <w:w w:val="95"/>
          <w:sz w:val="22"/>
        </w:rPr>
        <w:t> </w:t>
      </w:r>
      <w:r>
        <w:rPr>
          <w:rFonts w:ascii="Arial"/>
          <w:b/>
          <w:color w:val="58585B"/>
          <w:spacing w:val="-4"/>
          <w:w w:val="95"/>
          <w:sz w:val="22"/>
        </w:rPr>
        <w:t>MANAGER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E37829"/>
          <w:w w:val="95"/>
          <w:position w:val="1"/>
          <w:sz w:val="22"/>
        </w:rPr>
        <w:t>Riverstone</w:t>
      </w:r>
      <w:r>
        <w:rPr>
          <w:i/>
          <w:color w:val="E37829"/>
          <w:spacing w:val="-7"/>
          <w:w w:val="95"/>
          <w:position w:val="1"/>
          <w:sz w:val="22"/>
        </w:rPr>
        <w:t> </w:t>
      </w:r>
      <w:r>
        <w:rPr>
          <w:i/>
          <w:color w:val="E37829"/>
          <w:w w:val="95"/>
          <w:position w:val="1"/>
          <w:sz w:val="22"/>
        </w:rPr>
        <w:t>Realty,</w:t>
      </w:r>
      <w:r>
        <w:rPr>
          <w:i/>
          <w:color w:val="E37829"/>
          <w:spacing w:val="-4"/>
          <w:w w:val="95"/>
          <w:position w:val="1"/>
          <w:sz w:val="22"/>
        </w:rPr>
        <w:t> </w:t>
      </w:r>
      <w:r>
        <w:rPr>
          <w:i/>
          <w:color w:val="E37829"/>
          <w:w w:val="95"/>
          <w:position w:val="1"/>
          <w:sz w:val="22"/>
        </w:rPr>
        <w:t>San</w:t>
      </w:r>
      <w:r>
        <w:rPr>
          <w:i/>
          <w:color w:val="E37829"/>
          <w:spacing w:val="-4"/>
          <w:w w:val="95"/>
          <w:position w:val="1"/>
          <w:sz w:val="22"/>
        </w:rPr>
        <w:t> </w:t>
      </w:r>
      <w:r>
        <w:rPr>
          <w:i/>
          <w:color w:val="E37829"/>
          <w:w w:val="95"/>
          <w:position w:val="1"/>
          <w:sz w:val="22"/>
        </w:rPr>
        <w:t>Jose,</w:t>
      </w:r>
      <w:r>
        <w:rPr>
          <w:i/>
          <w:color w:val="E37829"/>
          <w:spacing w:val="-4"/>
          <w:w w:val="95"/>
          <w:position w:val="1"/>
          <w:sz w:val="22"/>
        </w:rPr>
        <w:t> </w:t>
      </w:r>
      <w:r>
        <w:rPr>
          <w:i/>
          <w:color w:val="E37829"/>
          <w:w w:val="95"/>
          <w:position w:val="1"/>
          <w:sz w:val="22"/>
        </w:rPr>
        <w:t>CA</w:t>
      </w:r>
      <w:r>
        <w:rPr>
          <w:i/>
          <w:color w:val="E37829"/>
          <w:spacing w:val="-5"/>
          <w:w w:val="95"/>
          <w:position w:val="1"/>
          <w:sz w:val="22"/>
        </w:rPr>
        <w:t> </w:t>
      </w:r>
      <w:r>
        <w:rPr>
          <w:i/>
          <w:color w:val="58585B"/>
          <w:w w:val="85"/>
          <w:position w:val="1"/>
          <w:sz w:val="22"/>
        </w:rPr>
        <w:t>|</w:t>
      </w:r>
      <w:r>
        <w:rPr>
          <w:i/>
          <w:color w:val="58585B"/>
          <w:spacing w:val="-4"/>
          <w:w w:val="95"/>
          <w:position w:val="1"/>
          <w:sz w:val="22"/>
        </w:rPr>
        <w:t> </w:t>
      </w:r>
      <w:r>
        <w:rPr>
          <w:i/>
          <w:color w:val="58585B"/>
          <w:w w:val="95"/>
          <w:position w:val="1"/>
          <w:sz w:val="22"/>
        </w:rPr>
        <w:t>July</w:t>
      </w:r>
      <w:r>
        <w:rPr>
          <w:i/>
          <w:color w:val="58585B"/>
          <w:spacing w:val="-4"/>
          <w:w w:val="95"/>
          <w:position w:val="1"/>
          <w:sz w:val="22"/>
        </w:rPr>
        <w:t> </w:t>
      </w:r>
      <w:r>
        <w:rPr>
          <w:i/>
          <w:color w:val="58585B"/>
          <w:w w:val="95"/>
          <w:position w:val="1"/>
          <w:sz w:val="22"/>
        </w:rPr>
        <w:t>2018</w:t>
      </w:r>
      <w:r>
        <w:rPr>
          <w:i/>
          <w:color w:val="58585B"/>
          <w:spacing w:val="-4"/>
          <w:w w:val="95"/>
          <w:position w:val="1"/>
          <w:sz w:val="22"/>
        </w:rPr>
        <w:t> </w:t>
      </w:r>
      <w:r>
        <w:rPr>
          <w:i/>
          <w:color w:val="58585B"/>
          <w:w w:val="95"/>
          <w:position w:val="1"/>
          <w:sz w:val="22"/>
        </w:rPr>
        <w:t>-</w:t>
      </w:r>
      <w:r>
        <w:rPr>
          <w:i/>
          <w:color w:val="58585B"/>
          <w:spacing w:val="-4"/>
          <w:w w:val="95"/>
          <w:position w:val="1"/>
          <w:sz w:val="22"/>
        </w:rPr>
        <w:t> </w:t>
      </w:r>
      <w:r>
        <w:rPr>
          <w:i/>
          <w:color w:val="58585B"/>
          <w:spacing w:val="-2"/>
          <w:w w:val="95"/>
          <w:position w:val="1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Manage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a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portfolio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of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300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residential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and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retail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rental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units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385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Implemented</w:t>
      </w:r>
      <w:r>
        <w:rPr>
          <w:color w:val="58585B"/>
          <w:spacing w:val="-3"/>
        </w:rPr>
        <w:t> </w:t>
      </w:r>
      <w:r>
        <w:rPr>
          <w:color w:val="58585B"/>
        </w:rPr>
        <w:t>pricing</w:t>
      </w:r>
      <w:r>
        <w:rPr>
          <w:color w:val="58585B"/>
          <w:spacing w:val="-3"/>
        </w:rPr>
        <w:t> </w:t>
      </w:r>
      <w:r>
        <w:rPr>
          <w:color w:val="58585B"/>
        </w:rPr>
        <w:t>strategy</w:t>
      </w:r>
      <w:r>
        <w:rPr>
          <w:color w:val="58585B"/>
          <w:spacing w:val="-3"/>
        </w:rPr>
        <w:t> </w:t>
      </w:r>
      <w:r>
        <w:rPr>
          <w:color w:val="58585B"/>
        </w:rPr>
        <w:t>that</w:t>
      </w:r>
      <w:r>
        <w:rPr>
          <w:color w:val="58585B"/>
          <w:spacing w:val="-3"/>
        </w:rPr>
        <w:t> </w:t>
      </w:r>
      <w:r>
        <w:rPr>
          <w:color w:val="58585B"/>
        </w:rPr>
        <w:t>increased</w:t>
      </w:r>
      <w:r>
        <w:rPr>
          <w:color w:val="58585B"/>
          <w:spacing w:val="-3"/>
        </w:rPr>
        <w:t> </w:t>
      </w:r>
      <w:r>
        <w:rPr>
          <w:color w:val="58585B"/>
        </w:rPr>
        <w:t>gross</w:t>
      </w:r>
      <w:r>
        <w:rPr>
          <w:color w:val="58585B"/>
          <w:spacing w:val="-3"/>
        </w:rPr>
        <w:t> </w:t>
      </w:r>
      <w:r>
        <w:rPr>
          <w:color w:val="58585B"/>
        </w:rPr>
        <w:t>rental</w:t>
      </w:r>
      <w:r>
        <w:rPr>
          <w:color w:val="58585B"/>
          <w:spacing w:val="-3"/>
        </w:rPr>
        <w:t> </w:t>
      </w:r>
      <w:r>
        <w:rPr>
          <w:color w:val="58585B"/>
        </w:rPr>
        <w:t>income</w:t>
      </w:r>
      <w:r>
        <w:rPr>
          <w:color w:val="58585B"/>
          <w:spacing w:val="-3"/>
        </w:rPr>
        <w:t> </w:t>
      </w:r>
      <w:r>
        <w:rPr>
          <w:color w:val="58585B"/>
        </w:rPr>
        <w:t>by</w:t>
      </w:r>
      <w:r>
        <w:rPr>
          <w:color w:val="58585B"/>
          <w:spacing w:val="-3"/>
        </w:rPr>
        <w:t> </w:t>
      </w:r>
      <w:r>
        <w:rPr>
          <w:color w:val="58585B"/>
        </w:rPr>
        <w:t>12%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Conduct monthly financial and occupancy reporting for owners</w:t>
      </w:r>
    </w:p>
    <w:p>
      <w:pPr>
        <w:tabs>
          <w:tab w:pos="6060" w:val="left" w:leader="none"/>
        </w:tabs>
        <w:spacing w:line="170" w:lineRule="auto" w:before="144"/>
        <w:ind w:left="10876" w:right="108" w:hanging="10763"/>
        <w:jc w:val="right"/>
        <w:rPr>
          <w:i/>
          <w:sz w:val="22"/>
        </w:rPr>
      </w:pPr>
      <w:r>
        <w:rPr>
          <w:rFonts w:ascii="Arial"/>
          <w:b/>
          <w:color w:val="58585B"/>
          <w:position w:val="-16"/>
          <w:sz w:val="22"/>
        </w:rPr>
        <w:t>PROPERTY MANAGER</w:t>
        <w:tab/>
      </w:r>
      <w:r>
        <w:rPr>
          <w:i/>
          <w:color w:val="E37829"/>
          <w:spacing w:val="-2"/>
          <w:sz w:val="22"/>
        </w:rPr>
        <w:t>Bayfront</w:t>
      </w:r>
      <w:r>
        <w:rPr>
          <w:i/>
          <w:color w:val="E37829"/>
          <w:spacing w:val="-11"/>
          <w:sz w:val="22"/>
        </w:rPr>
        <w:t> </w:t>
      </w:r>
      <w:r>
        <w:rPr>
          <w:i/>
          <w:color w:val="E37829"/>
          <w:spacing w:val="-2"/>
          <w:sz w:val="22"/>
        </w:rPr>
        <w:t>Properties,</w:t>
      </w:r>
      <w:r>
        <w:rPr>
          <w:i/>
          <w:color w:val="E37829"/>
          <w:spacing w:val="-11"/>
          <w:sz w:val="22"/>
        </w:rPr>
        <w:t> </w:t>
      </w:r>
      <w:r>
        <w:rPr>
          <w:i/>
          <w:color w:val="E37829"/>
          <w:spacing w:val="-2"/>
          <w:sz w:val="22"/>
        </w:rPr>
        <w:t>San</w:t>
      </w:r>
      <w:r>
        <w:rPr>
          <w:i/>
          <w:color w:val="E37829"/>
          <w:spacing w:val="-11"/>
          <w:sz w:val="22"/>
        </w:rPr>
        <w:t> </w:t>
      </w:r>
      <w:r>
        <w:rPr>
          <w:i/>
          <w:color w:val="E37829"/>
          <w:spacing w:val="-2"/>
          <w:sz w:val="22"/>
        </w:rPr>
        <w:t>Jose,</w:t>
      </w:r>
      <w:r>
        <w:rPr>
          <w:i/>
          <w:color w:val="E37829"/>
          <w:spacing w:val="-11"/>
          <w:sz w:val="22"/>
        </w:rPr>
        <w:t> </w:t>
      </w:r>
      <w:r>
        <w:rPr>
          <w:i/>
          <w:color w:val="E37829"/>
          <w:spacing w:val="-2"/>
          <w:sz w:val="22"/>
        </w:rPr>
        <w:t>CA</w:t>
      </w:r>
      <w:r>
        <w:rPr>
          <w:i/>
          <w:color w:val="E37829"/>
          <w:spacing w:val="-11"/>
          <w:sz w:val="22"/>
        </w:rPr>
        <w:t> </w:t>
      </w:r>
      <w:r>
        <w:rPr>
          <w:i/>
          <w:color w:val="58585B"/>
          <w:spacing w:val="-2"/>
          <w:w w:val="85"/>
          <w:sz w:val="22"/>
        </w:rPr>
        <w:t>|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2014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spacing w:line="367" w:lineRule="auto" w:before="148"/>
        <w:ind w:left="486" w:right="38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158893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12.511296pt;width:3.75pt;height:3.75pt;mso-position-horizontal-relative:page;mso-position-vertical-relative:paragraph;z-index:15730688" id="docshape4" coordorigin="360,250" coordsize="75,75" path="m403,325l392,325,387,324,360,293,360,288,360,282,392,250,403,250,435,282,435,293,408,324,403,325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228599</wp:posOffset>
                </wp:positionH>
                <wp:positionV relativeFrom="paragraph">
                  <wp:posOffset>406543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32.011295pt;width:3.75pt;height:3.75pt;mso-position-horizontal-relative:page;mso-position-vertical-relative:paragraph;z-index:15731200" id="docshape5" coordorigin="360,640" coordsize="75,75" path="m403,715l392,715,387,714,360,683,360,678,360,672,392,640,403,640,435,672,435,683,408,714,403,715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Handled</w:t>
      </w:r>
      <w:r>
        <w:rPr>
          <w:color w:val="58585B"/>
          <w:spacing w:val="-16"/>
        </w:rPr>
        <w:t> </w:t>
      </w:r>
      <w:r>
        <w:rPr>
          <w:color w:val="58585B"/>
        </w:rPr>
        <w:t>leasing,</w:t>
      </w:r>
      <w:r>
        <w:rPr>
          <w:color w:val="58585B"/>
          <w:spacing w:val="-16"/>
        </w:rPr>
        <w:t> </w:t>
      </w:r>
      <w:r>
        <w:rPr>
          <w:color w:val="58585B"/>
        </w:rPr>
        <w:t>maintenance,</w:t>
      </w:r>
      <w:r>
        <w:rPr>
          <w:color w:val="58585B"/>
          <w:spacing w:val="-16"/>
        </w:rPr>
        <w:t> </w:t>
      </w:r>
      <w:r>
        <w:rPr>
          <w:color w:val="58585B"/>
        </w:rPr>
        <w:t>and</w:t>
      </w:r>
      <w:r>
        <w:rPr>
          <w:color w:val="58585B"/>
          <w:spacing w:val="-16"/>
        </w:rPr>
        <w:t> </w:t>
      </w:r>
      <w:r>
        <w:rPr>
          <w:color w:val="58585B"/>
        </w:rPr>
        <w:t>compliance</w:t>
      </w:r>
      <w:r>
        <w:rPr>
          <w:color w:val="58585B"/>
          <w:spacing w:val="-16"/>
        </w:rPr>
        <w:t> </w:t>
      </w:r>
      <w:r>
        <w:rPr>
          <w:color w:val="58585B"/>
        </w:rPr>
        <w:t>for</w:t>
      </w:r>
      <w:r>
        <w:rPr>
          <w:color w:val="58585B"/>
          <w:spacing w:val="-16"/>
        </w:rPr>
        <w:t> </w:t>
      </w:r>
      <w:r>
        <w:rPr>
          <w:color w:val="58585B"/>
        </w:rPr>
        <w:t>80-unit</w:t>
      </w:r>
      <w:r>
        <w:rPr>
          <w:color w:val="58585B"/>
          <w:spacing w:val="-16"/>
        </w:rPr>
        <w:t> </w:t>
      </w:r>
      <w:r>
        <w:rPr>
          <w:color w:val="58585B"/>
        </w:rPr>
        <w:t>building Assisted brokers with property listings and inspections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e3782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3370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2933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337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933687"/>
                              </a:lnTo>
                              <a:lnTo>
                                <a:pt x="7568171" y="29336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1pt;mso-position-horizontal-relative:page;mso-position-vertical-relative:page;z-index:-15777280" id="docshape8" coordorigin="0,0" coordsize="11919,4620" path="m11918,0l0,0,0,510,0,525,0,4620,11918,462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pStyle w:val="Heading2"/>
        <w:spacing w:line="271" w:lineRule="auto" w:before="233"/>
        <w:rPr>
          <w:rFonts w:ascii="Arial"/>
        </w:rPr>
      </w:pPr>
      <w:r>
        <w:rPr>
          <w:rFonts w:ascii="Arial"/>
          <w:color w:val="58585B"/>
          <w:spacing w:val="-2"/>
        </w:rPr>
        <w:t>BACHELOR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  <w:spacing w:val="-2"/>
        </w:rPr>
        <w:t>OF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  <w:spacing w:val="-2"/>
        </w:rPr>
        <w:t>BUSINESS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  <w:spacing w:val="-2"/>
        </w:rPr>
        <w:t>ADMINISTRATION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  <w:spacing w:val="-2"/>
        </w:rPr>
        <w:t>IN </w:t>
      </w:r>
      <w:r>
        <w:rPr>
          <w:rFonts w:ascii="Arial"/>
          <w:color w:val="58585B"/>
        </w:rPr>
        <w:t>REAL ESTATE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12"/>
        <w:rPr>
          <w:rFonts w:ascii="Arial"/>
          <w:b/>
        </w:rPr>
      </w:pPr>
    </w:p>
    <w:p>
      <w:pPr>
        <w:pStyle w:val="BodyText"/>
        <w:ind w:left="114"/>
      </w:pPr>
      <w:r>
        <w:rPr>
          <w:color w:val="E37829"/>
        </w:rPr>
        <w:t>San</w:t>
      </w:r>
      <w:r>
        <w:rPr>
          <w:color w:val="E37829"/>
          <w:spacing w:val="-13"/>
        </w:rPr>
        <w:t> </w:t>
      </w:r>
      <w:r>
        <w:rPr>
          <w:color w:val="E37829"/>
        </w:rPr>
        <w:t>Jose</w:t>
      </w:r>
      <w:r>
        <w:rPr>
          <w:color w:val="E37829"/>
          <w:spacing w:val="-13"/>
        </w:rPr>
        <w:t> </w:t>
      </w:r>
      <w:r>
        <w:rPr>
          <w:color w:val="E37829"/>
        </w:rPr>
        <w:t>State</w:t>
      </w:r>
      <w:r>
        <w:rPr>
          <w:color w:val="E37829"/>
          <w:spacing w:val="-13"/>
        </w:rPr>
        <w:t> </w:t>
      </w:r>
      <w:r>
        <w:rPr>
          <w:color w:val="E37829"/>
        </w:rPr>
        <w:t>University</w:t>
      </w:r>
      <w:r>
        <w:rPr>
          <w:color w:val="E37829"/>
          <w:spacing w:val="-13"/>
        </w:rPr>
        <w:t> </w:t>
      </w:r>
      <w:r>
        <w:rPr>
          <w:color w:val="E37829"/>
          <w:w w:val="85"/>
        </w:rPr>
        <w:t>|</w:t>
      </w:r>
      <w:r>
        <w:rPr>
          <w:color w:val="E37829"/>
          <w:spacing w:val="-3"/>
          <w:w w:val="85"/>
        </w:rPr>
        <w:t> </w:t>
      </w:r>
      <w:r>
        <w:rPr>
          <w:color w:val="E37829"/>
        </w:rPr>
        <w:t>Graduated:</w:t>
      </w:r>
      <w:r>
        <w:rPr>
          <w:color w:val="E37829"/>
          <w:spacing w:val="-13"/>
        </w:rPr>
        <w:t> </w:t>
      </w:r>
      <w:r>
        <w:rPr>
          <w:color w:val="E37829"/>
        </w:rPr>
        <w:t>May</w:t>
      </w:r>
      <w:r>
        <w:rPr>
          <w:color w:val="E37829"/>
          <w:spacing w:val="-13"/>
        </w:rPr>
        <w:t> </w:t>
      </w:r>
      <w:r>
        <w:rPr>
          <w:color w:val="E37829"/>
          <w:spacing w:val="-4"/>
        </w:rPr>
        <w:t>2013</w:t>
      </w:r>
    </w:p>
    <w:sectPr>
      <w:type w:val="continuous"/>
      <w:pgSz w:w="11920" w:h="16860"/>
      <w:pgMar w:top="0" w:bottom="280" w:left="220" w:right="220"/>
      <w:cols w:num="2" w:equalWidth="0">
        <w:col w:w="5126" w:space="1331"/>
        <w:col w:w="50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1"/>
      <w:ind w:left="5742" w:hanging="520"/>
      <w:jc w:val="right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2025-10-16T17:44:19Z</dcterms:created>
  <dcterms:modified xsi:type="dcterms:W3CDTF">2025-10-16T17:44:19Z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