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660"/>
        </w:sectPr>
      </w:pPr>
    </w:p>
    <w:p>
      <w:pPr>
        <w:pStyle w:val="Title"/>
        <w:spacing w:line="225" w:lineRule="auto"/>
      </w:pPr>
      <w:r>
        <w:rPr>
          <w:color w:val="FFFFFF"/>
          <w:spacing w:val="-2"/>
          <w:w w:val="125"/>
        </w:rPr>
        <w:t>Avery Harris</w:t>
      </w:r>
    </w:p>
    <w:p>
      <w:pPr>
        <w:pStyle w:val="Heading1"/>
        <w:spacing w:line="249" w:lineRule="auto" w:before="97"/>
      </w:pPr>
      <w:r>
        <w:rPr>
          <w:color w:val="FFFFFF"/>
          <w:w w:val="125"/>
        </w:rPr>
        <w:t>Real Estate </w:t>
      </w:r>
      <w:r>
        <w:rPr>
          <w:color w:val="FFFFFF"/>
          <w:w w:val="125"/>
        </w:rPr>
        <w:t>Investment </w:t>
      </w:r>
      <w:r>
        <w:rPr>
          <w:color w:val="FFFFFF"/>
          <w:spacing w:val="-2"/>
          <w:w w:val="125"/>
        </w:rPr>
        <w:t>Analyst</w:t>
      </w:r>
    </w:p>
    <w:p>
      <w:pPr>
        <w:pStyle w:val="BodyText"/>
        <w:spacing w:line="280" w:lineRule="auto" w:before="155"/>
        <w:ind w:left="114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</w:rPr>
          <w:t>averyharris@email.com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2"/>
        </w:rPr>
        <w:t>(555)</w:t>
      </w:r>
      <w:r>
        <w:rPr>
          <w:color w:val="FFFFFF"/>
          <w:spacing w:val="-13"/>
        </w:rPr>
        <w:t> </w:t>
      </w:r>
      <w:r>
        <w:rPr>
          <w:color w:val="FFFFFF"/>
          <w:spacing w:val="-2"/>
        </w:rPr>
        <w:t>102-</w:t>
      </w:r>
      <w:r>
        <w:rPr>
          <w:color w:val="FFFFFF"/>
          <w:spacing w:val="-4"/>
        </w:rPr>
        <w:t>4050</w:t>
      </w:r>
    </w:p>
    <w:p>
      <w:pPr>
        <w:pStyle w:val="BodyText"/>
        <w:spacing w:before="44"/>
        <w:ind w:left="114"/>
      </w:pPr>
      <w:r>
        <w:rPr>
          <w:color w:val="FFFFFF"/>
          <w:spacing w:val="-2"/>
          <w:w w:val="10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660"/>
          <w:cols w:num="2" w:equalWidth="0">
            <w:col w:w="3314" w:space="4600"/>
            <w:col w:w="3126"/>
          </w:cols>
        </w:sectPr>
      </w:pPr>
    </w:p>
    <w:p>
      <w:pPr>
        <w:pStyle w:val="BodyText"/>
        <w:spacing w:before="25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w w:val="105"/>
          <w:sz w:val="22"/>
        </w:rPr>
        <w:t>Analytical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Professional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focused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on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property</w:t>
      </w:r>
      <w:r>
        <w:rPr>
          <w:b/>
          <w:color w:val="FFFFFF"/>
          <w:spacing w:val="-15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investment</w:t>
      </w:r>
      <w:r>
        <w:rPr>
          <w:b/>
          <w:color w:val="FFFFFF"/>
          <w:spacing w:val="-8"/>
          <w:w w:val="105"/>
          <w:sz w:val="22"/>
        </w:rPr>
        <w:t> </w:t>
      </w:r>
      <w:r>
        <w:rPr>
          <w:b/>
          <w:color w:val="FFFFFF"/>
          <w:spacing w:val="-2"/>
          <w:w w:val="105"/>
          <w:sz w:val="22"/>
        </w:rPr>
        <w:t>insights</w:t>
      </w:r>
    </w:p>
    <w:p>
      <w:pPr>
        <w:pStyle w:val="BodyText"/>
        <w:spacing w:line="280" w:lineRule="auto" w:before="150"/>
        <w:ind w:left="114" w:right="105"/>
      </w:pPr>
      <w:r>
        <w:rPr>
          <w:color w:val="FFFFFF"/>
          <w:w w:val="105"/>
        </w:rPr>
        <w:t>Investment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Analyst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five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evaluating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residential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commercial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real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estate </w:t>
      </w:r>
      <w:r>
        <w:rPr>
          <w:color w:val="FFFFFF"/>
        </w:rPr>
        <w:t>portfolios. Proficient in financial</w:t>
      </w:r>
      <w:r>
        <w:rPr>
          <w:color w:val="FFFFFF"/>
          <w:spacing w:val="-1"/>
        </w:rPr>
        <w:t> </w:t>
      </w:r>
      <w:r>
        <w:rPr>
          <w:color w:val="FFFFFF"/>
        </w:rPr>
        <w:t>modeling, market trend analysis, and ROI forecasting. Known for providing </w:t>
      </w:r>
      <w:r>
        <w:rPr>
          <w:color w:val="FFFFFF"/>
          <w:w w:val="105"/>
        </w:rPr>
        <w:t>data-driven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recommendations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that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lead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profitable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decisions.</w:t>
      </w:r>
    </w:p>
    <w:p>
      <w:pPr>
        <w:pStyle w:val="BodyText"/>
        <w:spacing w:before="18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280" w:left="220" w:right="660"/>
        </w:sectPr>
      </w:pPr>
    </w:p>
    <w:p>
      <w:pPr>
        <w:pStyle w:val="Heading1"/>
        <w:spacing w:before="105"/>
      </w:pPr>
      <w:r>
        <w:rPr>
          <w:color w:val="00BCA2"/>
          <w:w w:val="130"/>
        </w:rPr>
        <w:t>Key</w:t>
      </w:r>
      <w:r>
        <w:rPr>
          <w:color w:val="00BCA2"/>
          <w:spacing w:val="-9"/>
          <w:w w:val="130"/>
        </w:rPr>
        <w:t> </w:t>
      </w:r>
      <w:r>
        <w:rPr>
          <w:color w:val="00BCA2"/>
          <w:spacing w:val="-2"/>
          <w:w w:val="130"/>
        </w:rPr>
        <w:t>Skills</w:t>
      </w: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rPr>
          <w:rFonts w:ascii="Calibri"/>
          <w:b/>
          <w:sz w:val="26"/>
        </w:rPr>
      </w:pPr>
    </w:p>
    <w:p>
      <w:pPr>
        <w:pStyle w:val="BodyText"/>
        <w:spacing w:before="276"/>
        <w:rPr>
          <w:rFonts w:ascii="Calibri"/>
          <w:b/>
          <w:sz w:val="26"/>
        </w:rPr>
      </w:pPr>
    </w:p>
    <w:p>
      <w:pPr>
        <w:spacing w:before="0"/>
        <w:ind w:left="114" w:right="0" w:firstLine="0"/>
        <w:jc w:val="left"/>
        <w:rPr>
          <w:rFonts w:ascii="Calibri"/>
          <w:b/>
          <w:sz w:val="26"/>
        </w:rPr>
      </w:pPr>
      <w:r>
        <w:rPr>
          <w:rFonts w:ascii="Calibri"/>
          <w:b/>
          <w:color w:val="00BCA2"/>
          <w:w w:val="125"/>
          <w:sz w:val="26"/>
        </w:rPr>
        <w:t>Professional</w:t>
      </w:r>
      <w:r>
        <w:rPr>
          <w:rFonts w:ascii="Calibri"/>
          <w:b/>
          <w:color w:val="00BCA2"/>
          <w:spacing w:val="28"/>
          <w:w w:val="125"/>
          <w:sz w:val="26"/>
        </w:rPr>
        <w:t> </w:t>
      </w:r>
      <w:r>
        <w:rPr>
          <w:rFonts w:ascii="Calibri"/>
          <w:b/>
          <w:color w:val="00BCA2"/>
          <w:spacing w:val="-2"/>
          <w:w w:val="125"/>
          <w:sz w:val="26"/>
        </w:rPr>
        <w:t>Experience</w:t>
      </w:r>
    </w:p>
    <w:p>
      <w:pPr>
        <w:spacing w:line="285" w:lineRule="auto" w:before="209"/>
        <w:ind w:left="114" w:right="0" w:firstLine="0"/>
        <w:jc w:val="left"/>
        <w:rPr>
          <w:i/>
          <w:sz w:val="22"/>
        </w:rPr>
      </w:pPr>
      <w:r>
        <w:rPr>
          <w:rFonts w:ascii="Calibri"/>
          <w:b/>
          <w:w w:val="120"/>
          <w:sz w:val="18"/>
        </w:rPr>
        <w:t>Real Estate Investment Analyst</w:t>
      </w:r>
      <w:r>
        <w:rPr>
          <w:rFonts w:ascii="Calibri"/>
          <w:b/>
          <w:spacing w:val="40"/>
          <w:w w:val="120"/>
          <w:sz w:val="18"/>
        </w:rPr>
        <w:t> </w:t>
      </w:r>
      <w:r>
        <w:rPr>
          <w:i/>
          <w:spacing w:val="-6"/>
          <w:sz w:val="22"/>
        </w:rPr>
        <w:t>Capital</w:t>
      </w:r>
      <w:r>
        <w:rPr>
          <w:i/>
          <w:spacing w:val="-12"/>
          <w:sz w:val="22"/>
        </w:rPr>
        <w:t> </w:t>
      </w:r>
      <w:r>
        <w:rPr>
          <w:i/>
          <w:spacing w:val="-6"/>
          <w:sz w:val="22"/>
        </w:rPr>
        <w:t>Properties Inc., Charlotte,</w:t>
      </w:r>
      <w:r>
        <w:rPr>
          <w:i/>
          <w:spacing w:val="-6"/>
          <w:sz w:val="22"/>
        </w:rPr>
        <w:t> </w:t>
      </w:r>
      <w:r>
        <w:rPr>
          <w:i/>
          <w:w w:val="105"/>
          <w:sz w:val="22"/>
        </w:rPr>
        <w:t>NC</w:t>
      </w:r>
      <w:r>
        <w:rPr>
          <w:i/>
          <w:spacing w:val="-10"/>
          <w:w w:val="105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0"/>
          <w:w w:val="95"/>
          <w:sz w:val="22"/>
        </w:rPr>
        <w:t> </w:t>
      </w:r>
      <w:r>
        <w:rPr>
          <w:i/>
          <w:w w:val="105"/>
          <w:sz w:val="22"/>
        </w:rPr>
        <w:t>July</w:t>
      </w:r>
      <w:r>
        <w:rPr>
          <w:i/>
          <w:spacing w:val="-14"/>
          <w:w w:val="105"/>
          <w:sz w:val="22"/>
        </w:rPr>
        <w:t> </w:t>
      </w:r>
      <w:r>
        <w:rPr>
          <w:i/>
          <w:w w:val="105"/>
          <w:sz w:val="22"/>
        </w:rPr>
        <w:t>2021</w:t>
      </w:r>
      <w:r>
        <w:rPr>
          <w:i/>
          <w:spacing w:val="-10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10"/>
          <w:w w:val="105"/>
          <w:sz w:val="22"/>
        </w:rPr>
        <w:t> </w:t>
      </w:r>
      <w:r>
        <w:rPr>
          <w:i/>
          <w:w w:val="10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58"/>
        <w:rPr>
          <w:i/>
        </w:rPr>
      </w:pPr>
    </w:p>
    <w:p>
      <w:pPr>
        <w:spacing w:before="0"/>
        <w:ind w:left="114" w:right="0" w:firstLine="0"/>
        <w:jc w:val="left"/>
        <w:rPr>
          <w:rFonts w:ascii="Calibri"/>
          <w:b/>
          <w:sz w:val="18"/>
        </w:rPr>
      </w:pPr>
      <w:r>
        <w:rPr>
          <w:rFonts w:ascii="Calibri"/>
          <w:b/>
          <w:w w:val="130"/>
          <w:sz w:val="18"/>
        </w:rPr>
        <w:t>Financial</w:t>
      </w:r>
      <w:r>
        <w:rPr>
          <w:rFonts w:ascii="Calibri"/>
          <w:b/>
          <w:spacing w:val="12"/>
          <w:w w:val="130"/>
          <w:sz w:val="18"/>
        </w:rPr>
        <w:t> </w:t>
      </w:r>
      <w:r>
        <w:rPr>
          <w:rFonts w:ascii="Calibri"/>
          <w:b/>
          <w:spacing w:val="-2"/>
          <w:w w:val="130"/>
          <w:sz w:val="18"/>
        </w:rPr>
        <w:t>Analyst</w:t>
      </w:r>
    </w:p>
    <w:p>
      <w:pPr>
        <w:spacing w:line="280" w:lineRule="auto" w:before="45"/>
        <w:ind w:left="114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TerraVest</w:t>
      </w:r>
      <w:r>
        <w:rPr>
          <w:i/>
          <w:spacing w:val="-13"/>
          <w:sz w:val="22"/>
        </w:rPr>
        <w:t> </w:t>
      </w:r>
      <w:r>
        <w:rPr>
          <w:i/>
          <w:spacing w:val="-6"/>
          <w:sz w:val="22"/>
        </w:rPr>
        <w:t>Group,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Charlotte,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NC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|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August 2019 - June 2021</w:t>
      </w:r>
    </w:p>
    <w:p>
      <w:pPr>
        <w:pStyle w:val="BodyText"/>
        <w:spacing w:before="146"/>
        <w:ind w:left="114"/>
      </w:pPr>
      <w:r>
        <w:rPr/>
        <w:br w:type="column"/>
      </w:r>
      <w:r>
        <w:rPr>
          <w:w w:val="105"/>
        </w:rPr>
        <w:t>Asset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valuation</w:t>
      </w:r>
    </w:p>
    <w:p>
      <w:pPr>
        <w:pStyle w:val="BodyText"/>
        <w:spacing w:line="367" w:lineRule="auto" w:before="134"/>
        <w:ind w:left="114" w:right="39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2590799</wp:posOffset>
                </wp:positionH>
                <wp:positionV relativeFrom="paragraph">
                  <wp:posOffset>-107265</wp:posOffset>
                </wp:positionV>
                <wp:extent cx="47625" cy="476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8.446123pt;width:3.75pt;height:3.75pt;mso-position-horizontal-relative:page;mso-position-vertical-relative:paragraph;z-index:15730176" id="docshape1" coordorigin="4080,-169" coordsize="75,75" path="m4123,-94l4112,-94,4107,-95,4080,-126,4080,-131,4080,-137,4112,-169,4123,-169,4155,-137,4155,-126,4128,-95,4123,-94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140384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053875pt;width:3.75pt;height:3.75pt;mso-position-horizontal-relative:page;mso-position-vertical-relative:paragraph;z-index:15730688" id="docshape2" coordorigin="4080,221" coordsize="75,75" path="m4123,296l4112,296,4107,295,4080,264,4080,259,4080,253,4112,221,4123,221,4155,253,4155,264,4128,295,4123,296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388034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553873pt;width:3.75pt;height:3.75pt;mso-position-horizontal-relative:page;mso-position-vertical-relative:paragraph;z-index:15731200" id="docshape3" coordorigin="4080,611" coordsize="75,75" path="m4123,686l4112,686,4107,685,4080,654,4080,649,4080,643,4112,611,4123,611,4155,643,4155,654,4128,685,4123,686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Capital</w:t>
      </w:r>
      <w:r>
        <w:rPr>
          <w:spacing w:val="-21"/>
          <w:w w:val="105"/>
        </w:rPr>
        <w:t> </w:t>
      </w:r>
      <w:r>
        <w:rPr>
          <w:spacing w:val="-2"/>
          <w:w w:val="105"/>
        </w:rPr>
        <w:t>expenditure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analysis </w:t>
      </w:r>
      <w:r>
        <w:rPr>
          <w:w w:val="105"/>
        </w:rPr>
        <w:t>Cost-benefit modeling</w:t>
      </w:r>
    </w:p>
    <w:p>
      <w:pPr>
        <w:pStyle w:val="BodyText"/>
        <w:spacing w:line="367" w:lineRule="auto"/>
        <w:ind w:left="114" w:right="490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54230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270142pt;width:3.75pt;height:3.75pt;mso-position-horizontal-relative:page;mso-position-vertical-relative:paragraph;z-index:15731712" id="docshape4" coordorigin="4080,85" coordsize="75,75" path="m4123,160l4112,160,4107,159,4080,128,4080,123,4080,118,4112,85,4123,85,4155,118,4155,128,4128,159,4123,16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301880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77014pt;width:3.75pt;height:3.75pt;mso-position-horizontal-relative:page;mso-position-vertical-relative:paragraph;z-index:15732224" id="docshape5" coordorigin="4080,475" coordsize="75,75" path="m4123,550l4112,550,4107,549,4080,518,4080,513,4080,508,4112,475,4123,475,4155,508,4155,518,4128,549,4123,55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549530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3.270138pt;width:3.75pt;height:3.75pt;mso-position-horizontal-relative:page;mso-position-vertical-relative:paragraph;z-index:15732736" id="docshape6" coordorigin="4080,865" coordsize="75,75" path="m4123,940l4112,940,4107,939,4080,908,4080,903,4080,898,4112,865,4123,865,4155,898,4155,908,4128,939,4123,94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Due diligence Excel</w:t>
      </w:r>
      <w:r>
        <w:rPr>
          <w:spacing w:val="-12"/>
          <w:w w:val="105"/>
        </w:rPr>
        <w:t> </w:t>
      </w:r>
      <w:r>
        <w:rPr>
          <w:w w:val="105"/>
        </w:rPr>
        <w:t>modeling </w:t>
      </w:r>
      <w:r>
        <w:rPr/>
        <w:t>Financial</w:t>
      </w:r>
      <w:r>
        <w:rPr>
          <w:spacing w:val="-8"/>
        </w:rPr>
        <w:t> </w:t>
      </w:r>
      <w:r>
        <w:rPr/>
        <w:t>reporting</w:t>
      </w:r>
    </w:p>
    <w:p>
      <w:pPr>
        <w:pStyle w:val="BodyText"/>
        <w:spacing w:line="367" w:lineRule="auto"/>
        <w:ind w:left="114" w:right="39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52635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.144541pt;width:3.75pt;height:3.75pt;mso-position-horizontal-relative:page;mso-position-vertical-relative:paragraph;z-index:15733248" id="docshape7" coordorigin="4080,83" coordsize="75,75" path="m4123,158l4112,158,4107,157,4080,126,4080,121,4080,115,4112,83,4123,83,4155,115,4155,126,4128,157,4123,15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300285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3.644539pt;width:3.75pt;height:3.75pt;mso-position-horizontal-relative:page;mso-position-vertical-relative:paragraph;z-index:15733760" id="docshape8" coordorigin="4080,473" coordsize="75,75" path="m4123,548l4112,548,4107,547,4080,516,4080,511,4080,505,4112,473,4123,473,4155,505,4155,516,4128,547,4123,54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Market trend research Portfolio review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8"/>
      </w:pPr>
    </w:p>
    <w:p>
      <w:pPr>
        <w:pStyle w:val="BodyText"/>
        <w:spacing w:line="280" w:lineRule="auto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64686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093421pt;width:3.75pt;height:3.75pt;mso-position-horizontal-relative:page;mso-position-vertical-relative:paragraph;z-index:15734272" id="docshape9" coordorigin="4080,102" coordsize="75,75" path="m4123,177l4112,177,4107,176,4080,145,4080,140,4080,134,4112,102,4123,102,4155,134,4155,145,4128,176,4123,177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Evaluated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60+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properties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annually,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identifying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underperforming </w:t>
      </w:r>
      <w:r>
        <w:rPr>
          <w:w w:val="105"/>
        </w:rPr>
        <w:t>assets and repositioning opportunities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123264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0586pt;width:3.75pt;height:3.75pt;mso-position-horizontal-relative:page;mso-position-vertical-relative:paragraph;z-index:15734784" id="docshape10" coordorigin="4080,194" coordsize="75,75" path="m4123,269l4112,269,4107,268,4080,237,4080,232,4080,226,4112,194,4123,194,4155,226,4155,237,4128,268,4123,269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Built</w:t>
      </w:r>
      <w:r>
        <w:rPr>
          <w:spacing w:val="-13"/>
          <w:w w:val="105"/>
        </w:rPr>
        <w:t> </w:t>
      </w:r>
      <w:r>
        <w:rPr>
          <w:w w:val="105"/>
        </w:rPr>
        <w:t>pro</w:t>
      </w:r>
      <w:r>
        <w:rPr>
          <w:spacing w:val="-13"/>
          <w:w w:val="105"/>
        </w:rPr>
        <w:t> </w:t>
      </w:r>
      <w:r>
        <w:rPr>
          <w:w w:val="105"/>
        </w:rPr>
        <w:t>forma</w:t>
      </w:r>
      <w:r>
        <w:rPr>
          <w:spacing w:val="-13"/>
          <w:w w:val="105"/>
        </w:rPr>
        <w:t> </w:t>
      </w:r>
      <w:r>
        <w:rPr>
          <w:w w:val="105"/>
        </w:rPr>
        <w:t>models</w:t>
      </w:r>
      <w:r>
        <w:rPr>
          <w:spacing w:val="-12"/>
          <w:w w:val="105"/>
        </w:rPr>
        <w:t> </w:t>
      </w:r>
      <w:r>
        <w:rPr>
          <w:w w:val="105"/>
        </w:rPr>
        <w:t>to</w:t>
      </w:r>
      <w:r>
        <w:rPr>
          <w:spacing w:val="-13"/>
          <w:w w:val="105"/>
        </w:rPr>
        <w:t> </w:t>
      </w:r>
      <w:r>
        <w:rPr>
          <w:w w:val="105"/>
        </w:rPr>
        <w:t>support</w:t>
      </w:r>
      <w:r>
        <w:rPr>
          <w:spacing w:val="-13"/>
          <w:w w:val="105"/>
        </w:rPr>
        <w:t> </w:t>
      </w:r>
      <w:r>
        <w:rPr>
          <w:w w:val="105"/>
        </w:rPr>
        <w:t>$20M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acquisitions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spacing w:val="-4"/>
          <w:w w:val="105"/>
        </w:rPr>
        <w:t>2023</w:t>
      </w:r>
    </w:p>
    <w:p>
      <w:pPr>
        <w:pStyle w:val="BodyText"/>
        <w:spacing w:line="280" w:lineRule="auto" w:before="13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150284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33398pt;width:3.75pt;height:3.75pt;mso-position-horizontal-relative:page;mso-position-vertical-relative:paragraph;z-index:15735296" id="docshape11" coordorigin="4080,237" coordsize="75,75" path="m4123,312l4112,312,4107,311,4080,279,4080,275,4080,269,4112,237,4123,237,4155,269,4155,279,4128,311,4123,31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Delivered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quarterly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reports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portfolio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performance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senior stakeholders</w:t>
      </w:r>
    </w:p>
    <w:p>
      <w:pPr>
        <w:pStyle w:val="BodyText"/>
        <w:spacing w:before="16"/>
      </w:pP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2590799</wp:posOffset>
                </wp:positionH>
                <wp:positionV relativeFrom="paragraph">
                  <wp:posOffset>65066</wp:posOffset>
                </wp:positionV>
                <wp:extent cx="47625" cy="47625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23375pt;width:3.75pt;height:3.75pt;mso-position-horizontal-relative:page;mso-position-vertical-relative:paragraph;z-index:15735808" id="docshape12" coordorigin="4080,102" coordsize="75,75" path="m4123,177l4112,177,4107,177,4080,145,4080,140,4080,135,4112,102,4123,102,4155,135,4155,145,4128,177,4123,177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Modeled</w:t>
      </w:r>
      <w:r>
        <w:rPr>
          <w:spacing w:val="-8"/>
          <w:w w:val="105"/>
        </w:rPr>
        <w:t> </w:t>
      </w:r>
      <w:r>
        <w:rPr>
          <w:w w:val="105"/>
        </w:rPr>
        <w:t>long-term</w:t>
      </w:r>
      <w:r>
        <w:rPr>
          <w:spacing w:val="-7"/>
          <w:w w:val="105"/>
        </w:rPr>
        <w:t> </w:t>
      </w:r>
      <w:r>
        <w:rPr>
          <w:w w:val="105"/>
        </w:rPr>
        <w:t>returns</w:t>
      </w:r>
      <w:r>
        <w:rPr>
          <w:spacing w:val="-7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mixed-use</w:t>
      </w:r>
      <w:r>
        <w:rPr>
          <w:spacing w:val="-7"/>
          <w:w w:val="105"/>
        </w:rPr>
        <w:t> </w:t>
      </w:r>
      <w:r>
        <w:rPr>
          <w:w w:val="105"/>
        </w:rPr>
        <w:t>property</w:t>
      </w:r>
      <w:r>
        <w:rPr>
          <w:spacing w:val="-14"/>
          <w:w w:val="105"/>
        </w:rPr>
        <w:t> </w:t>
      </w:r>
      <w:r>
        <w:rPr>
          <w:spacing w:val="-2"/>
          <w:w w:val="105"/>
        </w:rPr>
        <w:t>investments</w:t>
      </w:r>
    </w:p>
    <w:p>
      <w:pPr>
        <w:pStyle w:val="BodyText"/>
        <w:spacing w:line="280" w:lineRule="auto" w:before="134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2590799</wp:posOffset>
                </wp:positionH>
                <wp:positionV relativeFrom="paragraph">
                  <wp:posOffset>149871</wp:posOffset>
                </wp:positionV>
                <wp:extent cx="47625" cy="4762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1.800913pt;width:3.75pt;height:3.75pt;mso-position-horizontal-relative:page;mso-position-vertical-relative:paragraph;z-index:15736320" id="docshape13" coordorigin="4080,236" coordsize="75,75" path="m4123,311l4112,311,4107,310,4080,279,4080,274,4080,268,4112,236,4123,236,4155,268,4155,279,4128,310,4123,311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Conducted</w:t>
      </w:r>
      <w:r>
        <w:rPr>
          <w:spacing w:val="-10"/>
          <w:w w:val="105"/>
        </w:rPr>
        <w:t> </w:t>
      </w:r>
      <w:r>
        <w:rPr>
          <w:w w:val="105"/>
        </w:rPr>
        <w:t>market</w:t>
      </w:r>
      <w:r>
        <w:rPr>
          <w:spacing w:val="-10"/>
          <w:w w:val="105"/>
        </w:rPr>
        <w:t> </w:t>
      </w:r>
      <w:r>
        <w:rPr>
          <w:w w:val="105"/>
        </w:rPr>
        <w:t>research</w:t>
      </w:r>
      <w:r>
        <w:rPr>
          <w:spacing w:val="-10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regional</w:t>
      </w:r>
      <w:r>
        <w:rPr>
          <w:spacing w:val="-17"/>
          <w:w w:val="105"/>
        </w:rPr>
        <w:t> </w:t>
      </w:r>
      <w:r>
        <w:rPr>
          <w:w w:val="105"/>
        </w:rPr>
        <w:t>expansion</w:t>
      </w:r>
      <w:r>
        <w:rPr>
          <w:spacing w:val="-10"/>
          <w:w w:val="105"/>
        </w:rPr>
        <w:t> </w:t>
      </w:r>
      <w:r>
        <w:rPr>
          <w:w w:val="105"/>
        </w:rPr>
        <w:t>and redevelopment efforts</w:t>
      </w:r>
    </w:p>
    <w:p>
      <w:pPr>
        <w:pStyle w:val="BodyText"/>
        <w:spacing w:before="92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2590799</wp:posOffset>
                </wp:positionH>
                <wp:positionV relativeFrom="paragraph">
                  <wp:posOffset>123359</wp:posOffset>
                </wp:positionV>
                <wp:extent cx="47625" cy="47625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713351pt;width:3.75pt;height:3.75pt;mso-position-horizontal-relative:page;mso-position-vertical-relative:paragraph;z-index:15736832" id="docshape14" coordorigin="4080,194" coordsize="75,75" path="m4123,269l4112,269,4107,268,4080,237,4080,232,4080,226,4112,194,4123,194,4155,226,4155,237,4128,268,4123,269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Analyzed</w:t>
      </w:r>
      <w:r>
        <w:rPr>
          <w:spacing w:val="20"/>
        </w:rPr>
        <w:t> </w:t>
      </w:r>
      <w:r>
        <w:rPr/>
        <w:t>NOI</w:t>
      </w:r>
      <w:r>
        <w:rPr>
          <w:spacing w:val="21"/>
        </w:rPr>
        <w:t> </w:t>
      </w:r>
      <w:r>
        <w:rPr/>
        <w:t>growth</w:t>
      </w:r>
      <w:r>
        <w:rPr>
          <w:spacing w:val="21"/>
        </w:rPr>
        <w:t> </w:t>
      </w:r>
      <w:r>
        <w:rPr/>
        <w:t>opportunities</w:t>
      </w:r>
      <w:r>
        <w:rPr>
          <w:spacing w:val="21"/>
        </w:rPr>
        <w:t> </w:t>
      </w:r>
      <w:r>
        <w:rPr/>
        <w:t>for</w:t>
      </w:r>
      <w:r>
        <w:rPr>
          <w:spacing w:val="13"/>
        </w:rPr>
        <w:t> </w:t>
      </w:r>
      <w:r>
        <w:rPr/>
        <w:t>existing</w:t>
      </w:r>
      <w:r>
        <w:rPr>
          <w:spacing w:val="20"/>
        </w:rPr>
        <w:t> </w:t>
      </w:r>
      <w:r>
        <w:rPr>
          <w:spacing w:val="-2"/>
        </w:rPr>
        <w:t>holdings</w:t>
      </w:r>
    </w:p>
    <w:p>
      <w:pPr>
        <w:spacing w:after="0"/>
        <w:sectPr>
          <w:type w:val="continuous"/>
          <w:pgSz w:w="11920" w:h="16860"/>
          <w:pgMar w:top="0" w:bottom="280" w:left="220" w:right="660"/>
          <w:cols w:num="2" w:equalWidth="0">
            <w:col w:w="3469" w:space="623"/>
            <w:col w:w="6948"/>
          </w:cols>
        </w:sectPr>
      </w:pPr>
    </w:p>
    <w:p>
      <w:pPr>
        <w:pStyle w:val="BodyText"/>
        <w:spacing w:before="152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908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568565" cy="29908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908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047875"/>
                              </a:lnTo>
                              <a:lnTo>
                                <a:pt x="0" y="2057400"/>
                              </a:lnTo>
                              <a:lnTo>
                                <a:pt x="0" y="2990837"/>
                              </a:lnTo>
                              <a:lnTo>
                                <a:pt x="7568171" y="2990837"/>
                              </a:lnTo>
                              <a:lnTo>
                                <a:pt x="7568171" y="2057400"/>
                              </a:lnTo>
                              <a:lnTo>
                                <a:pt x="7568171" y="204787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5.5pt;mso-position-horizontal-relative:page;mso-position-vertical-relative:page;z-index:-15779328" id="docshape15" coordorigin="0,0" coordsize="11919,4710" path="m11918,0l0,0,0,510,0,525,0,3225,0,3240,0,4710,11918,4710,11918,3240,11918,3225,11918,525,11918,510,11918,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3124199</wp:posOffset>
                </wp:positionV>
                <wp:extent cx="7153275" cy="9525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5.999985pt;width:563.249955pt;height:.75pt;mso-position-horizontal-relative:page;mso-position-vertical-relative:page;z-index:15729152" id="docshape16" filled="true" fillcolor="#00bca2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8020049</wp:posOffset>
                </wp:positionV>
                <wp:extent cx="7153275" cy="9525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31.499939pt;width:563.249955pt;height:.75pt;mso-position-horizontal-relative:page;mso-position-vertical-relative:page;z-index:15729664" id="docshape17" filled="true" fillcolor="#00bca2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1"/>
      </w:pPr>
      <w:r>
        <w:rPr>
          <w:color w:val="00BCA2"/>
          <w:spacing w:val="-2"/>
          <w:w w:val="130"/>
        </w:rPr>
        <w:t>Education</w:t>
      </w:r>
    </w:p>
    <w:p>
      <w:pPr>
        <w:tabs>
          <w:tab w:pos="3834" w:val="left" w:leader="none"/>
        </w:tabs>
        <w:spacing w:before="204"/>
        <w:ind w:left="114" w:right="0" w:firstLine="0"/>
        <w:jc w:val="left"/>
        <w:rPr>
          <w:sz w:val="22"/>
        </w:rPr>
      </w:pPr>
      <w:r>
        <w:rPr>
          <w:rFonts w:ascii="Calibri"/>
          <w:b/>
          <w:w w:val="120"/>
          <w:position w:val="3"/>
          <w:sz w:val="18"/>
        </w:rPr>
        <w:t>Bachelor</w:t>
      </w:r>
      <w:r>
        <w:rPr>
          <w:rFonts w:ascii="Calibri"/>
          <w:b/>
          <w:spacing w:val="50"/>
          <w:w w:val="120"/>
          <w:position w:val="3"/>
          <w:sz w:val="18"/>
        </w:rPr>
        <w:t> </w:t>
      </w:r>
      <w:r>
        <w:rPr>
          <w:rFonts w:ascii="Calibri"/>
          <w:b/>
          <w:w w:val="110"/>
          <w:position w:val="3"/>
          <w:sz w:val="18"/>
        </w:rPr>
        <w:t>of</w:t>
      </w:r>
      <w:r>
        <w:rPr>
          <w:rFonts w:ascii="Calibri"/>
          <w:b/>
          <w:spacing w:val="51"/>
          <w:w w:val="120"/>
          <w:position w:val="3"/>
          <w:sz w:val="18"/>
        </w:rPr>
        <w:t> </w:t>
      </w:r>
      <w:r>
        <w:rPr>
          <w:rFonts w:ascii="Calibri"/>
          <w:b/>
          <w:w w:val="120"/>
          <w:position w:val="3"/>
          <w:sz w:val="18"/>
        </w:rPr>
        <w:t>Science</w:t>
      </w:r>
      <w:r>
        <w:rPr>
          <w:rFonts w:ascii="Calibri"/>
          <w:b/>
          <w:spacing w:val="50"/>
          <w:w w:val="120"/>
          <w:position w:val="3"/>
          <w:sz w:val="18"/>
        </w:rPr>
        <w:t> </w:t>
      </w:r>
      <w:r>
        <w:rPr>
          <w:rFonts w:ascii="Calibri"/>
          <w:b/>
          <w:w w:val="120"/>
          <w:position w:val="3"/>
          <w:sz w:val="18"/>
        </w:rPr>
        <w:t>in</w:t>
      </w:r>
      <w:r>
        <w:rPr>
          <w:rFonts w:ascii="Calibri"/>
          <w:b/>
          <w:spacing w:val="51"/>
          <w:w w:val="120"/>
          <w:position w:val="3"/>
          <w:sz w:val="18"/>
        </w:rPr>
        <w:t> </w:t>
      </w:r>
      <w:r>
        <w:rPr>
          <w:rFonts w:ascii="Calibri"/>
          <w:b/>
          <w:spacing w:val="-2"/>
          <w:w w:val="120"/>
          <w:position w:val="3"/>
          <w:sz w:val="18"/>
        </w:rPr>
        <w:t>Finance</w:t>
      </w:r>
      <w:r>
        <w:rPr>
          <w:rFonts w:ascii="Calibri"/>
          <w:b/>
          <w:position w:val="3"/>
          <w:sz w:val="18"/>
        </w:rPr>
        <w:tab/>
      </w:r>
      <w:r>
        <w:rPr>
          <w:spacing w:val="-2"/>
          <w:w w:val="105"/>
          <w:sz w:val="22"/>
        </w:rPr>
        <w:t>Wake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Forest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University</w:t>
      </w:r>
      <w:r>
        <w:rPr>
          <w:spacing w:val="-16"/>
          <w:w w:val="105"/>
          <w:sz w:val="22"/>
        </w:rPr>
        <w:t> </w:t>
      </w:r>
      <w:r>
        <w:rPr>
          <w:spacing w:val="-2"/>
          <w:w w:val="85"/>
          <w:sz w:val="22"/>
        </w:rPr>
        <w:t>|</w:t>
      </w:r>
      <w:r>
        <w:rPr>
          <w:spacing w:val="-9"/>
          <w:w w:val="105"/>
          <w:sz w:val="22"/>
        </w:rPr>
        <w:t> </w:t>
      </w:r>
      <w:r>
        <w:rPr>
          <w:spacing w:val="-2"/>
          <w:w w:val="105"/>
          <w:sz w:val="22"/>
        </w:rPr>
        <w:t>May</w:t>
      </w:r>
      <w:r>
        <w:rPr>
          <w:spacing w:val="-15"/>
          <w:w w:val="105"/>
          <w:sz w:val="22"/>
        </w:rPr>
        <w:t> </w:t>
      </w:r>
      <w:r>
        <w:rPr>
          <w:spacing w:val="-4"/>
          <w:w w:val="105"/>
          <w:sz w:val="22"/>
        </w:rPr>
        <w:t>2019</w:t>
      </w:r>
    </w:p>
    <w:sectPr>
      <w:type w:val="continuous"/>
      <w:pgSz w:w="11920" w:h="16860"/>
      <w:pgMar w:top="0" w:bottom="280" w:left="220" w:right="6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8"/>
      <w:ind w:left="114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veryharris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2025-10-03T14:58:55Z</dcterms:created>
  <dcterms:modified xsi:type="dcterms:W3CDTF">2025-10-03T14:58:55Z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