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275"/>
        <w:rPr>
          <w:rFonts w:ascii="Times New Roman"/>
          <w:sz w:val="37"/>
        </w:rPr>
      </w:pPr>
    </w:p>
    <w:p>
      <w:pPr>
        <w:pStyle w:val="Title"/>
      </w:pPr>
      <w:r>
        <w:rPr>
          <w:color w:val="FFFFFF"/>
          <w:w w:val="130"/>
        </w:rPr>
        <w:t>Reese</w:t>
      </w:r>
      <w:r>
        <w:rPr>
          <w:color w:val="FFFFFF"/>
          <w:spacing w:val="-24"/>
          <w:w w:val="130"/>
        </w:rPr>
        <w:t> </w:t>
      </w:r>
      <w:r>
        <w:rPr>
          <w:color w:val="FFFFFF"/>
          <w:spacing w:val="-4"/>
          <w:w w:val="130"/>
        </w:rPr>
        <w:t>King</w:t>
      </w:r>
    </w:p>
    <w:p>
      <w:pPr>
        <w:spacing w:line="254" w:lineRule="auto" w:before="224"/>
        <w:ind w:left="117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FFFFFF"/>
          <w:w w:val="130"/>
          <w:sz w:val="29"/>
        </w:rPr>
        <w:t>Assistant</w:t>
      </w:r>
      <w:r>
        <w:rPr>
          <w:rFonts w:ascii="Calibri"/>
          <w:b/>
          <w:color w:val="FFFFFF"/>
          <w:spacing w:val="-3"/>
          <w:w w:val="130"/>
          <w:sz w:val="29"/>
        </w:rPr>
        <w:t> </w:t>
      </w:r>
      <w:r>
        <w:rPr>
          <w:rFonts w:ascii="Calibri"/>
          <w:b/>
          <w:color w:val="FFFFFF"/>
          <w:w w:val="130"/>
          <w:sz w:val="29"/>
        </w:rPr>
        <w:t>Branch </w:t>
      </w:r>
      <w:r>
        <w:rPr>
          <w:rFonts w:ascii="Calibri"/>
          <w:b/>
          <w:color w:val="FFFFFF"/>
          <w:spacing w:val="-2"/>
          <w:w w:val="130"/>
          <w:sz w:val="29"/>
        </w:rPr>
        <w:t>Manager (Banking)</w:t>
      </w:r>
    </w:p>
    <w:p>
      <w:pPr>
        <w:pStyle w:val="BodyText"/>
        <w:spacing w:before="120"/>
        <w:rPr>
          <w:rFonts w:ascii="Calibri"/>
          <w:b/>
          <w:sz w:val="29"/>
        </w:rPr>
      </w:pPr>
    </w:p>
    <w:p>
      <w:pPr>
        <w:pStyle w:val="BodyText"/>
        <w:ind w:left="117"/>
      </w:pPr>
      <w:r>
        <w:rPr>
          <w:color w:val="FFFFFF"/>
        </w:rPr>
        <w:t>Tampa,</w:t>
      </w:r>
      <w:r>
        <w:rPr>
          <w:color w:val="FFFFFF"/>
          <w:spacing w:val="5"/>
        </w:rPr>
        <w:t> </w:t>
      </w:r>
      <w:r>
        <w:rPr>
          <w:color w:val="FFFFFF"/>
        </w:rPr>
        <w:t>FL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33602</w:t>
      </w:r>
    </w:p>
    <w:p>
      <w:pPr>
        <w:pStyle w:val="BodyText"/>
        <w:spacing w:before="149"/>
        <w:ind w:left="117"/>
      </w:pPr>
      <w:r>
        <w:rPr>
          <w:color w:val="FFFFFF"/>
          <w:w w:val="105"/>
        </w:rPr>
        <w:t>555-555-</w:t>
      </w:r>
      <w:r>
        <w:rPr>
          <w:color w:val="FFFFFF"/>
          <w:spacing w:val="-4"/>
          <w:w w:val="105"/>
        </w:rPr>
        <w:t>5555</w:t>
      </w:r>
    </w:p>
    <w:p>
      <w:pPr>
        <w:pStyle w:val="BodyText"/>
        <w:spacing w:line="393" w:lineRule="auto" w:before="150"/>
        <w:ind w:left="117" w:right="162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LinkedIn</w:t>
      </w:r>
    </w:p>
    <w:p>
      <w:pPr>
        <w:spacing w:line="280" w:lineRule="auto" w:before="104"/>
        <w:ind w:left="117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789C2F"/>
          <w:w w:val="105"/>
          <w:sz w:val="22"/>
        </w:rPr>
        <w:t>Banking</w:t>
      </w:r>
      <w:r>
        <w:rPr>
          <w:b/>
          <w:color w:val="789C2F"/>
          <w:spacing w:val="-12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Leader</w:t>
      </w:r>
      <w:r>
        <w:rPr>
          <w:b/>
          <w:color w:val="789C2F"/>
          <w:spacing w:val="-1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focused</w:t>
      </w:r>
      <w:r>
        <w:rPr>
          <w:b/>
          <w:color w:val="789C2F"/>
          <w:spacing w:val="-12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on</w:t>
      </w:r>
      <w:r>
        <w:rPr>
          <w:b/>
          <w:color w:val="789C2F"/>
          <w:spacing w:val="-12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operational</w:t>
      </w:r>
      <w:r>
        <w:rPr>
          <w:b/>
          <w:color w:val="789C2F"/>
          <w:spacing w:val="-1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excellence</w:t>
      </w:r>
      <w:r>
        <w:rPr>
          <w:b/>
          <w:color w:val="789C2F"/>
          <w:spacing w:val="-12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and</w:t>
      </w:r>
      <w:r>
        <w:rPr>
          <w:b/>
          <w:color w:val="789C2F"/>
          <w:spacing w:val="-12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client </w:t>
      </w:r>
      <w:r>
        <w:rPr>
          <w:b/>
          <w:color w:val="789C2F"/>
          <w:spacing w:val="-2"/>
          <w:w w:val="105"/>
          <w:sz w:val="22"/>
        </w:rPr>
        <w:t>growth</w:t>
      </w:r>
    </w:p>
    <w:p>
      <w:pPr>
        <w:spacing w:line="278" w:lineRule="auto" w:before="107"/>
        <w:ind w:left="117" w:right="241" w:firstLine="0"/>
        <w:jc w:val="left"/>
        <w:rPr>
          <w:b/>
          <w:sz w:val="22"/>
        </w:rPr>
      </w:pPr>
      <w:r>
        <w:rPr>
          <w:b/>
          <w:color w:val="789C2F"/>
          <w:sz w:val="22"/>
        </w:rPr>
        <w:t>Experienced assistant branch manager</w:t>
      </w:r>
      <w:r>
        <w:rPr>
          <w:b/>
          <w:color w:val="789C2F"/>
          <w:spacing w:val="-2"/>
          <w:sz w:val="22"/>
        </w:rPr>
        <w:t> </w:t>
      </w:r>
      <w:r>
        <w:rPr>
          <w:b/>
          <w:color w:val="789C2F"/>
          <w:sz w:val="22"/>
        </w:rPr>
        <w:t>with 11 years in retail banking. Expert in daily operations, sales initiatives, compliance, and customer service excellence. Proven ability to grow client portfolios while maintaining audit-ready </w:t>
      </w:r>
      <w:r>
        <w:rPr>
          <w:b/>
          <w:color w:val="789C2F"/>
          <w:spacing w:val="-2"/>
          <w:sz w:val="22"/>
        </w:rPr>
        <w:t>records.</w:t>
      </w:r>
    </w:p>
    <w:p>
      <w:pPr>
        <w:pStyle w:val="BodyText"/>
        <w:spacing w:before="157"/>
        <w:rPr>
          <w:b/>
        </w:rPr>
      </w:pPr>
    </w:p>
    <w:p>
      <w:pPr>
        <w:pStyle w:val="Heading1"/>
        <w:ind w:left="136"/>
      </w:pPr>
      <w:r>
        <w:rPr>
          <w:color w:val="789C2F"/>
          <w:w w:val="125"/>
        </w:rPr>
        <w:t>Professional</w:t>
      </w:r>
      <w:r>
        <w:rPr>
          <w:color w:val="789C2F"/>
          <w:spacing w:val="10"/>
          <w:w w:val="125"/>
        </w:rPr>
        <w:t> </w:t>
      </w:r>
      <w:r>
        <w:rPr>
          <w:color w:val="789C2F"/>
          <w:spacing w:val="-2"/>
          <w:w w:val="125"/>
        </w:rPr>
        <w:t>Experience</w:t>
      </w:r>
    </w:p>
    <w:p>
      <w:pPr>
        <w:pStyle w:val="BodyText"/>
        <w:spacing w:before="7"/>
        <w:rPr>
          <w:rFonts w:ascii="Calibri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50983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14457pt;width:328.499974pt;height:.75pt;mso-position-horizontal-relative:page;mso-position-vertical-relative:paragraph;z-index:-15728640;mso-wrap-distance-left:0;mso-wrap-distance-right:0" id="docshape1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25"/>
        <w:ind w:left="136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789C2F"/>
          <w:w w:val="130"/>
          <w:sz w:val="22"/>
        </w:rPr>
        <w:t>Assistant</w:t>
      </w:r>
      <w:r>
        <w:rPr>
          <w:rFonts w:ascii="Calibri"/>
          <w:b/>
          <w:color w:val="789C2F"/>
          <w:spacing w:val="-8"/>
          <w:w w:val="130"/>
          <w:sz w:val="22"/>
        </w:rPr>
        <w:t> </w:t>
      </w:r>
      <w:r>
        <w:rPr>
          <w:rFonts w:ascii="Calibri"/>
          <w:b/>
          <w:color w:val="789C2F"/>
          <w:w w:val="130"/>
          <w:sz w:val="22"/>
        </w:rPr>
        <w:t>Branch</w:t>
      </w:r>
      <w:r>
        <w:rPr>
          <w:rFonts w:ascii="Calibri"/>
          <w:b/>
          <w:color w:val="789C2F"/>
          <w:spacing w:val="-7"/>
          <w:w w:val="130"/>
          <w:sz w:val="22"/>
        </w:rPr>
        <w:t> </w:t>
      </w:r>
      <w:r>
        <w:rPr>
          <w:rFonts w:ascii="Calibri"/>
          <w:b/>
          <w:color w:val="789C2F"/>
          <w:spacing w:val="-2"/>
          <w:w w:val="130"/>
          <w:sz w:val="22"/>
        </w:rPr>
        <w:t>Manager</w:t>
      </w:r>
    </w:p>
    <w:p>
      <w:pPr>
        <w:tabs>
          <w:tab w:pos="5148" w:val="left" w:leader="none"/>
        </w:tabs>
        <w:spacing w:line="280" w:lineRule="auto" w:before="95"/>
        <w:ind w:left="5957" w:right="116" w:hanging="5821"/>
        <w:jc w:val="left"/>
        <w:rPr>
          <w:i/>
          <w:sz w:val="22"/>
        </w:rPr>
      </w:pPr>
      <w:r>
        <w:rPr>
          <w:i/>
          <w:color w:val="789C2F"/>
          <w:sz w:val="22"/>
        </w:rPr>
        <w:t>Southern Coast Bank, Tampa, FL</w:t>
        <w:tab/>
        <w:t>February</w:t>
      </w:r>
      <w:r>
        <w:rPr>
          <w:i/>
          <w:color w:val="789C2F"/>
          <w:spacing w:val="-17"/>
          <w:sz w:val="22"/>
        </w:rPr>
        <w:t> </w:t>
      </w:r>
      <w:r>
        <w:rPr>
          <w:i/>
          <w:color w:val="789C2F"/>
          <w:sz w:val="22"/>
        </w:rPr>
        <w:t>2018</w:t>
      </w:r>
      <w:r>
        <w:rPr>
          <w:i/>
          <w:color w:val="789C2F"/>
          <w:spacing w:val="-17"/>
          <w:sz w:val="22"/>
        </w:rPr>
        <w:t> </w:t>
      </w:r>
      <w:r>
        <w:rPr>
          <w:i/>
          <w:color w:val="789C2F"/>
          <w:sz w:val="22"/>
        </w:rPr>
        <w:t>-</w:t>
      </w:r>
      <w:r>
        <w:rPr>
          <w:i/>
          <w:color w:val="789C2F"/>
          <w:sz w:val="22"/>
        </w:rPr>
        <w:t> </w:t>
      </w:r>
      <w:r>
        <w:rPr>
          <w:i/>
          <w:color w:val="789C2F"/>
          <w:spacing w:val="-2"/>
          <w:sz w:val="22"/>
        </w:rPr>
        <w:t>Present</w:t>
      </w:r>
    </w:p>
    <w:p>
      <w:pPr>
        <w:pStyle w:val="BodyText"/>
        <w:tabs>
          <w:tab w:pos="508" w:val="left" w:leader="none"/>
        </w:tabs>
        <w:spacing w:line="280" w:lineRule="auto" w:before="107"/>
        <w:ind w:left="508" w:right="241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 new</w:t>
      </w:r>
      <w:r>
        <w:rPr>
          <w:spacing w:val="-4"/>
          <w:w w:val="105"/>
        </w:rPr>
        <w:t> </w:t>
      </w:r>
      <w:r>
        <w:rPr>
          <w:w w:val="105"/>
        </w:rPr>
        <w:t>account openings by</w:t>
      </w:r>
      <w:r>
        <w:rPr>
          <w:spacing w:val="-4"/>
          <w:w w:val="105"/>
        </w:rPr>
        <w:t> </w:t>
      </w:r>
      <w:r>
        <w:rPr>
          <w:w w:val="105"/>
        </w:rPr>
        <w:t>27% through improved lead follow-up and staff coaching</w:t>
      </w:r>
    </w:p>
    <w:p>
      <w:pPr>
        <w:pStyle w:val="BodyText"/>
        <w:tabs>
          <w:tab w:pos="508" w:val="left" w:leader="none"/>
        </w:tabs>
        <w:spacing w:line="280" w:lineRule="auto" w:before="92"/>
        <w:ind w:left="508" w:right="302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-20"/>
          <w:w w:val="105"/>
        </w:rPr>
        <w:t> </w:t>
      </w:r>
      <w:r>
        <w:rPr>
          <w:w w:val="105"/>
        </w:rPr>
        <w:t>daily</w:t>
      </w:r>
      <w:r>
        <w:rPr>
          <w:spacing w:val="-19"/>
          <w:w w:val="105"/>
        </w:rPr>
        <w:t> </w:t>
      </w:r>
      <w:r>
        <w:rPr>
          <w:w w:val="105"/>
        </w:rPr>
        <w:t>branch</w:t>
      </w:r>
      <w:r>
        <w:rPr>
          <w:spacing w:val="-18"/>
          <w:w w:val="105"/>
        </w:rPr>
        <w:t> </w:t>
      </w:r>
      <w:r>
        <w:rPr>
          <w:w w:val="105"/>
        </w:rPr>
        <w:t>operations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supported</w:t>
      </w:r>
      <w:r>
        <w:rPr>
          <w:spacing w:val="-18"/>
          <w:w w:val="105"/>
        </w:rPr>
        <w:t> </w:t>
      </w:r>
      <w:r>
        <w:rPr>
          <w:w w:val="105"/>
        </w:rPr>
        <w:t>teller</w:t>
      </w:r>
      <w:r>
        <w:rPr>
          <w:spacing w:val="-18"/>
          <w:w w:val="105"/>
        </w:rPr>
        <w:t> </w:t>
      </w:r>
      <w:r>
        <w:rPr>
          <w:w w:val="105"/>
        </w:rPr>
        <w:t>staff during peak transaction times</w:t>
      </w:r>
    </w:p>
    <w:p>
      <w:pPr>
        <w:pStyle w:val="BodyText"/>
        <w:tabs>
          <w:tab w:pos="508" w:val="left" w:leader="none"/>
        </w:tabs>
        <w:spacing w:before="92"/>
        <w:ind w:left="162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Led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quarterly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reviews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zero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policy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violations</w:t>
      </w:r>
    </w:p>
    <w:p>
      <w:pPr>
        <w:spacing w:before="252"/>
        <w:ind w:left="136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789C2F"/>
          <w:w w:val="125"/>
          <w:sz w:val="22"/>
        </w:rPr>
        <w:t>Senior</w:t>
      </w:r>
      <w:r>
        <w:rPr>
          <w:rFonts w:ascii="Calibri"/>
          <w:b/>
          <w:color w:val="789C2F"/>
          <w:spacing w:val="10"/>
          <w:w w:val="125"/>
          <w:sz w:val="22"/>
        </w:rPr>
        <w:t> </w:t>
      </w:r>
      <w:r>
        <w:rPr>
          <w:rFonts w:ascii="Calibri"/>
          <w:b/>
          <w:color w:val="789C2F"/>
          <w:spacing w:val="-2"/>
          <w:w w:val="125"/>
          <w:sz w:val="22"/>
        </w:rPr>
        <w:t>Teller</w:t>
      </w:r>
    </w:p>
    <w:p>
      <w:pPr>
        <w:spacing w:after="0"/>
        <w:jc w:val="left"/>
        <w:rPr>
          <w:rFonts w:ascii="Calibri"/>
          <w:sz w:val="22"/>
        </w:rPr>
        <w:sectPr>
          <w:type w:val="continuous"/>
          <w:pgSz w:w="11920" w:h="16860"/>
          <w:pgMar w:top="0" w:bottom="0" w:left="440" w:right="640"/>
          <w:cols w:num="2" w:equalWidth="0">
            <w:col w:w="2794" w:space="1223"/>
            <w:col w:w="6823"/>
          </w:cols>
        </w:sectPr>
      </w:pPr>
    </w:p>
    <w:p>
      <w:pPr>
        <w:pStyle w:val="Heading1"/>
        <w:spacing w:before="308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spacing w:line="280" w:lineRule="auto" w:before="94"/>
        <w:ind w:left="117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789C2F"/>
          <w:spacing w:val="-2"/>
          <w:sz w:val="22"/>
        </w:rPr>
        <w:t>National</w:t>
      </w:r>
      <w:r>
        <w:rPr>
          <w:i/>
          <w:color w:val="789C2F"/>
          <w:spacing w:val="-17"/>
          <w:sz w:val="22"/>
        </w:rPr>
        <w:t> </w:t>
      </w:r>
      <w:r>
        <w:rPr>
          <w:i/>
          <w:color w:val="789C2F"/>
          <w:spacing w:val="-2"/>
          <w:sz w:val="22"/>
        </w:rPr>
        <w:t>Credit</w:t>
      </w:r>
      <w:r>
        <w:rPr>
          <w:i/>
          <w:color w:val="789C2F"/>
          <w:spacing w:val="-15"/>
          <w:sz w:val="22"/>
        </w:rPr>
        <w:t> </w:t>
      </w:r>
      <w:r>
        <w:rPr>
          <w:i/>
          <w:color w:val="789C2F"/>
          <w:spacing w:val="-2"/>
          <w:sz w:val="22"/>
        </w:rPr>
        <w:t>Union,</w:t>
      </w:r>
      <w:r>
        <w:rPr>
          <w:i/>
          <w:color w:val="789C2F"/>
          <w:spacing w:val="-18"/>
          <w:sz w:val="22"/>
        </w:rPr>
        <w:t> </w:t>
      </w:r>
      <w:r>
        <w:rPr>
          <w:i/>
          <w:color w:val="789C2F"/>
          <w:spacing w:val="-2"/>
          <w:sz w:val="22"/>
        </w:rPr>
        <w:t>Tampa,</w:t>
      </w:r>
      <w:r>
        <w:rPr>
          <w:i/>
          <w:color w:val="789C2F"/>
          <w:spacing w:val="-2"/>
          <w:sz w:val="22"/>
        </w:rPr>
        <w:t> </w:t>
      </w:r>
      <w:r>
        <w:rPr>
          <w:i/>
          <w:color w:val="789C2F"/>
          <w:spacing w:val="-6"/>
          <w:sz w:val="22"/>
        </w:rPr>
        <w:t>FL</w:t>
      </w:r>
    </w:p>
    <w:p>
      <w:pPr>
        <w:spacing w:before="94"/>
        <w:ind w:left="0" w:right="116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789C2F"/>
          <w:sz w:val="22"/>
        </w:rPr>
        <w:t>June</w:t>
      </w:r>
      <w:r>
        <w:rPr>
          <w:i/>
          <w:color w:val="789C2F"/>
          <w:spacing w:val="-14"/>
          <w:sz w:val="22"/>
        </w:rPr>
        <w:t> </w:t>
      </w:r>
      <w:r>
        <w:rPr>
          <w:i/>
          <w:color w:val="789C2F"/>
          <w:sz w:val="22"/>
        </w:rPr>
        <w:t>2013</w:t>
      </w:r>
      <w:r>
        <w:rPr>
          <w:i/>
          <w:color w:val="789C2F"/>
          <w:spacing w:val="-13"/>
          <w:sz w:val="22"/>
        </w:rPr>
        <w:t> </w:t>
      </w:r>
      <w:r>
        <w:rPr>
          <w:i/>
          <w:color w:val="789C2F"/>
          <w:sz w:val="22"/>
        </w:rPr>
        <w:t>-</w:t>
      </w:r>
      <w:r>
        <w:rPr>
          <w:i/>
          <w:color w:val="789C2F"/>
          <w:spacing w:val="-17"/>
          <w:sz w:val="22"/>
        </w:rPr>
        <w:t> </w:t>
      </w:r>
      <w:r>
        <w:rPr>
          <w:i/>
          <w:color w:val="789C2F"/>
          <w:spacing w:val="-2"/>
          <w:sz w:val="22"/>
        </w:rPr>
        <w:t>January</w:t>
      </w:r>
    </w:p>
    <w:p>
      <w:pPr>
        <w:spacing w:before="45"/>
        <w:ind w:left="0" w:right="116" w:firstLine="0"/>
        <w:jc w:val="right"/>
        <w:rPr>
          <w:i/>
          <w:sz w:val="22"/>
        </w:rPr>
      </w:pPr>
      <w:r>
        <w:rPr>
          <w:i/>
          <w:color w:val="789C2F"/>
          <w:spacing w:val="-4"/>
          <w:sz w:val="22"/>
        </w:rPr>
        <w:t>2018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0" w:bottom="0" w:left="440" w:right="640"/>
          <w:cols w:num="3" w:equalWidth="0">
            <w:col w:w="1448" w:space="2588"/>
            <w:col w:w="3144" w:space="1441"/>
            <w:col w:w="2219"/>
          </w:cols>
        </w:sectPr>
      </w:pPr>
    </w:p>
    <w:p>
      <w:pPr>
        <w:pStyle w:val="BodyText"/>
        <w:spacing w:before="17"/>
        <w:rPr>
          <w:i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9533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95337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61937" y="5543549"/>
                            <a:ext cx="476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812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801522"/>
                                </a:moveTo>
                                <a:lnTo>
                                  <a:pt x="27165" y="781050"/>
                                </a:lnTo>
                                <a:lnTo>
                                  <a:pt x="20472" y="781050"/>
                                </a:lnTo>
                                <a:lnTo>
                                  <a:pt x="0" y="801522"/>
                                </a:lnTo>
                                <a:lnTo>
                                  <a:pt x="0" y="805091"/>
                                </a:lnTo>
                                <a:lnTo>
                                  <a:pt x="0" y="808215"/>
                                </a:lnTo>
                                <a:lnTo>
                                  <a:pt x="20472" y="828675"/>
                                </a:lnTo>
                                <a:lnTo>
                                  <a:pt x="27165" y="828675"/>
                                </a:lnTo>
                                <a:lnTo>
                                  <a:pt x="47625" y="808215"/>
                                </a:lnTo>
                                <a:lnTo>
                                  <a:pt x="47625" y="801522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80431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7280" id="docshapegroup2" coordorigin="0,0" coordsize="4023,16860">
                <v:shape style="position:absolute;left:0;top:0;width:4020;height:16860" id="docshape3" coordorigin="0,0" coordsize="4020,16860" path="m4020,0l0,0,0,510,0,525,0,4110,0,12525,0,16860,4020,16860,4020,12525,4020,4110,4020,525,4020,510,4020,0xe" filled="true" fillcolor="#789c2f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7" o:title=""/>
                </v:shape>
                <v:shape style="position:absolute;left:569;top:8730;width:75;height:3120" id="docshape5" coordorigin="570,8730" coordsize="75,3120" path="m645,11807l644,11802,640,11793,638,11789,631,11782,627,11780,618,11776,613,11775,602,11775,597,11776,588,11780,584,11782,577,11789,575,11793,571,11802,570,11807,570,11813,570,11818,571,11823,575,11832,577,11836,584,11843,588,11845,597,11849,602,11850,613,11850,618,11849,627,11845,631,11843,638,11836,640,11832,644,11823,645,11818,645,11807xm645,11102l644,11097,640,11088,638,11084,631,11077,627,11075,618,11071,613,11070,602,11070,597,11071,588,11075,584,11077,577,11084,575,11088,571,11097,570,11102,570,11108,570,11113,571,11118,575,11127,577,11131,584,11138,588,11140,597,11144,602,11145,613,11145,618,11144,627,11140,631,11138,638,11131,640,11127,644,11118,645,11113,645,11102xm645,10397l644,10392,640,10383,638,10379,631,10372,627,10370,618,10366,613,10365,602,10365,597,10366,588,10370,584,10372,577,10379,575,10383,571,10392,570,10397,570,10403,570,10408,571,10413,575,10422,577,10426,584,10433,588,10435,597,10439,602,10440,613,10440,618,10439,627,10435,631,10433,638,10426,640,10422,644,10413,645,10408,645,10397xm645,9992l644,9987,640,9978,638,9974,631,9967,627,9965,618,9961,613,9960,602,9960,597,9961,588,9965,584,9967,577,9974,575,9978,571,9987,570,9992,570,9998,570,10003,571,10008,575,10017,577,10021,584,10028,588,10030,597,10034,602,10035,613,10035,618,10034,627,10030,631,10028,638,10021,640,10017,644,10008,645,10003,645,9992xm645,9572l644,9567,640,9558,638,9554,631,9547,627,9545,618,9541,613,9540,602,9540,597,9541,588,9545,584,9547,577,9554,575,9558,571,9567,570,9572,570,9578,570,9583,571,9588,575,9597,577,9601,584,9608,588,9610,597,9614,602,9615,613,9615,618,9614,627,9610,631,9608,638,9601,640,9597,644,9588,645,9583,645,9572xm645,9167l644,9162,640,9153,638,9149,631,9142,627,9140,618,9136,613,9135,602,9135,597,9136,588,9140,584,9142,577,9149,575,9153,571,9162,570,9167,570,9173,570,9178,571,9183,575,9192,577,9196,584,9203,588,9205,597,9209,602,9210,613,9210,618,9209,627,9205,631,9203,638,9196,640,9192,644,9183,645,9178,645,9167xm645,8762l644,8757,640,8748,638,8744,631,8737,627,8735,618,8731,613,8730,602,8730,597,8731,588,8735,584,8737,577,8744,575,8748,571,8757,570,8762,570,8768,570,8773,571,8778,575,8787,577,8791,584,8798,588,8800,597,8804,602,8805,613,8805,618,8804,627,8800,631,8798,638,8791,640,8787,644,8778,645,8773,645,8762xe" filled="true" fillcolor="#ffffff" stroked="false">
                  <v:path arrowok="t"/>
                  <v:fill type="solid"/>
                </v:shape>
                <v:shape style="position:absolute;left:0;top:7843;width:4023;height:557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489"/>
      </w:pPr>
      <w:r>
        <w:rPr>
          <w:color w:val="FFFFFF"/>
          <w:w w:val="105"/>
        </w:rPr>
        <w:t>Account management Banking compliance Employee coaching Financial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reporting</w:t>
      </w:r>
    </w:p>
    <w:p>
      <w:pPr>
        <w:pStyle w:val="BodyText"/>
        <w:spacing w:line="268" w:lineRule="auto" w:before="10"/>
        <w:ind w:left="489" w:right="627"/>
      </w:pPr>
      <w:r>
        <w:rPr>
          <w:color w:val="FFFFFF"/>
          <w:w w:val="105"/>
        </w:rPr>
        <w:t>Loan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application </w:t>
      </w:r>
      <w:r>
        <w:rPr>
          <w:color w:val="FFFFFF"/>
          <w:spacing w:val="-2"/>
          <w:w w:val="105"/>
        </w:rPr>
        <w:t>processing</w:t>
      </w:r>
    </w:p>
    <w:p>
      <w:pPr>
        <w:pStyle w:val="BodyText"/>
        <w:spacing w:line="268" w:lineRule="auto" w:before="133"/>
        <w:ind w:left="489"/>
      </w:pPr>
      <w:r>
        <w:rPr>
          <w:color w:val="FFFFFF"/>
          <w:w w:val="105"/>
        </w:rPr>
        <w:t>Sales performance </w:t>
      </w:r>
      <w:r>
        <w:rPr>
          <w:color w:val="FFFFFF"/>
          <w:spacing w:val="-2"/>
          <w:w w:val="105"/>
        </w:rPr>
        <w:t>tracking</w:t>
      </w:r>
    </w:p>
    <w:p>
      <w:pPr>
        <w:pStyle w:val="BodyText"/>
        <w:spacing w:before="133"/>
        <w:ind w:left="489"/>
      </w:pPr>
      <w:r>
        <w:rPr>
          <w:color w:val="FFFFFF"/>
          <w:spacing w:val="-4"/>
        </w:rPr>
        <w:t>Teller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operations</w:t>
      </w:r>
    </w:p>
    <w:p>
      <w:pPr>
        <w:pStyle w:val="BodyText"/>
        <w:tabs>
          <w:tab w:pos="861" w:val="left" w:leader="none"/>
        </w:tabs>
        <w:spacing w:line="280" w:lineRule="auto" w:before="108"/>
        <w:ind w:left="861" w:right="1066" w:hanging="34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Processed large cash and check transactions while</w:t>
      </w:r>
      <w:r>
        <w:rPr>
          <w:spacing w:val="40"/>
        </w:rPr>
        <w:t> </w:t>
      </w:r>
      <w:r>
        <w:rPr/>
        <w:t>maintaining 99.9% accuracy</w:t>
      </w:r>
    </w:p>
    <w:p>
      <w:pPr>
        <w:pStyle w:val="BodyText"/>
        <w:tabs>
          <w:tab w:pos="861" w:val="left" w:leader="none"/>
        </w:tabs>
        <w:spacing w:line="367" w:lineRule="auto" w:before="92"/>
        <w:ind w:left="515" w:right="31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-18"/>
          <w:w w:val="105"/>
        </w:rPr>
        <w:t> </w:t>
      </w:r>
      <w:r>
        <w:rPr>
          <w:w w:val="105"/>
        </w:rPr>
        <w:t>junior</w:t>
      </w:r>
      <w:r>
        <w:rPr>
          <w:spacing w:val="-18"/>
          <w:w w:val="105"/>
        </w:rPr>
        <w:t> </w:t>
      </w:r>
      <w:r>
        <w:rPr>
          <w:w w:val="105"/>
        </w:rPr>
        <w:t>tellers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reduced</w:t>
      </w:r>
      <w:r>
        <w:rPr>
          <w:spacing w:val="-16"/>
          <w:w w:val="105"/>
        </w:rPr>
        <w:t> </w:t>
      </w:r>
      <w:r>
        <w:rPr>
          <w:w w:val="105"/>
        </w:rPr>
        <w:t>onboarding</w:t>
      </w:r>
      <w:r>
        <w:rPr>
          <w:spacing w:val="-16"/>
          <w:w w:val="105"/>
        </w:rPr>
        <w:t> </w:t>
      </w:r>
      <w:r>
        <w:rPr>
          <w:w w:val="105"/>
        </w:rPr>
        <w:t>time</w:t>
      </w:r>
      <w:r>
        <w:rPr>
          <w:spacing w:val="-16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w w:val="105"/>
        </w:rPr>
        <w:t>30% </w:t>
      </w: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Recognized for a 100% attendance record over five</w:t>
      </w:r>
      <w:r>
        <w:rPr>
          <w:spacing w:val="-1"/>
          <w:w w:val="105"/>
        </w:rPr>
        <w:t> </w:t>
      </w:r>
      <w:r>
        <w:rPr>
          <w:w w:val="105"/>
        </w:rPr>
        <w:t>years</w:t>
      </w:r>
    </w:p>
    <w:p>
      <w:pPr>
        <w:pStyle w:val="BodyText"/>
        <w:spacing w:before="62"/>
      </w:pPr>
    </w:p>
    <w:p>
      <w:pPr>
        <w:pStyle w:val="Heading1"/>
        <w:ind w:left="489"/>
      </w:pPr>
      <w:r>
        <w:rPr>
          <w:color w:val="789C2F"/>
          <w:spacing w:val="-2"/>
          <w:w w:val="130"/>
        </w:rPr>
        <w:t>Education</w:t>
      </w:r>
    </w:p>
    <w:p>
      <w:pPr>
        <w:pStyle w:val="BodyText"/>
        <w:spacing w:before="4"/>
        <w:rPr>
          <w:rFonts w:ascii="Calibri"/>
          <w:b/>
          <w:sz w:val="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41388</wp:posOffset>
                </wp:positionV>
                <wp:extent cx="41719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3.25892pt;width:328.499974pt;height:.75pt;mso-position-horizontal-relative:page;mso-position-vertical-relative:paragraph;z-index:-15728128;mso-wrap-distance-left:0;mso-wrap-distance-right:0" id="docshape7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489"/>
      </w:pPr>
      <w:r>
        <w:rPr/>
        <w:t>University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South</w:t>
      </w:r>
      <w:r>
        <w:rPr>
          <w:spacing w:val="5"/>
        </w:rPr>
        <w:t> </w:t>
      </w:r>
      <w:r>
        <w:rPr/>
        <w:t>Florida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Graduated:</w:t>
      </w:r>
      <w:r>
        <w:rPr>
          <w:spacing w:val="5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2013</w:t>
      </w:r>
    </w:p>
    <w:p>
      <w:pPr>
        <w:spacing w:before="102"/>
        <w:ind w:left="48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789C2F"/>
          <w:w w:val="130"/>
          <w:sz w:val="22"/>
        </w:rPr>
        <w:t>Bachelor</w:t>
      </w:r>
      <w:r>
        <w:rPr>
          <w:rFonts w:ascii="Calibri"/>
          <w:b/>
          <w:color w:val="789C2F"/>
          <w:spacing w:val="-5"/>
          <w:w w:val="130"/>
          <w:sz w:val="22"/>
        </w:rPr>
        <w:t> </w:t>
      </w:r>
      <w:r>
        <w:rPr>
          <w:rFonts w:ascii="Calibri"/>
          <w:b/>
          <w:color w:val="789C2F"/>
          <w:w w:val="130"/>
          <w:sz w:val="22"/>
        </w:rPr>
        <w:t>of</w:t>
      </w:r>
      <w:r>
        <w:rPr>
          <w:rFonts w:ascii="Calibri"/>
          <w:b/>
          <w:color w:val="789C2F"/>
          <w:spacing w:val="-5"/>
          <w:w w:val="130"/>
          <w:sz w:val="22"/>
        </w:rPr>
        <w:t> </w:t>
      </w:r>
      <w:r>
        <w:rPr>
          <w:rFonts w:ascii="Calibri"/>
          <w:b/>
          <w:color w:val="789C2F"/>
          <w:w w:val="130"/>
          <w:sz w:val="22"/>
        </w:rPr>
        <w:t>Science</w:t>
      </w:r>
      <w:r>
        <w:rPr>
          <w:rFonts w:ascii="Calibri"/>
          <w:b/>
          <w:color w:val="789C2F"/>
          <w:spacing w:val="-5"/>
          <w:w w:val="130"/>
          <w:sz w:val="22"/>
        </w:rPr>
        <w:t> </w:t>
      </w:r>
      <w:r>
        <w:rPr>
          <w:rFonts w:ascii="Calibri"/>
          <w:b/>
          <w:color w:val="789C2F"/>
          <w:w w:val="130"/>
          <w:sz w:val="22"/>
        </w:rPr>
        <w:t>in</w:t>
      </w:r>
      <w:r>
        <w:rPr>
          <w:rFonts w:ascii="Calibri"/>
          <w:b/>
          <w:color w:val="789C2F"/>
          <w:spacing w:val="-4"/>
          <w:w w:val="130"/>
          <w:sz w:val="22"/>
        </w:rPr>
        <w:t> </w:t>
      </w:r>
      <w:r>
        <w:rPr>
          <w:rFonts w:ascii="Calibri"/>
          <w:b/>
          <w:color w:val="789C2F"/>
          <w:spacing w:val="-2"/>
          <w:w w:val="130"/>
          <w:sz w:val="22"/>
        </w:rPr>
        <w:t>Finance</w:t>
      </w:r>
    </w:p>
    <w:sectPr>
      <w:type w:val="continuous"/>
      <w:pgSz w:w="11920" w:h="16860"/>
      <w:pgMar w:top="0" w:bottom="0" w:left="440" w:right="640"/>
      <w:cols w:num="2" w:equalWidth="0">
        <w:col w:w="2833" w:space="831"/>
        <w:col w:w="71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7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2025-10-22T18:46:15Z</dcterms:created>
  <dcterms:modified xsi:type="dcterms:W3CDTF">2025-10-22T18:46:15Z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