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F2973"/>
          <w:w w:val="130"/>
        </w:rPr>
        <w:t>Reese</w:t>
      </w:r>
      <w:r>
        <w:rPr>
          <w:color w:val="0F2973"/>
          <w:spacing w:val="-28"/>
          <w:w w:val="130"/>
        </w:rPr>
        <w:t> </w:t>
      </w:r>
      <w:r>
        <w:rPr>
          <w:color w:val="0F2973"/>
          <w:spacing w:val="-4"/>
          <w:w w:val="130"/>
        </w:rPr>
        <w:t>King</w:t>
      </w:r>
    </w:p>
    <w:p>
      <w:pPr>
        <w:spacing w:before="22"/>
        <w:ind w:left="118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w w:val="125"/>
          <w:sz w:val="22"/>
        </w:rPr>
        <w:t>Government</w:t>
      </w:r>
      <w:r>
        <w:rPr>
          <w:rFonts w:ascii="Calibri"/>
          <w:b/>
          <w:spacing w:val="19"/>
          <w:w w:val="125"/>
          <w:sz w:val="22"/>
        </w:rPr>
        <w:t> </w:t>
      </w:r>
      <w:r>
        <w:rPr>
          <w:rFonts w:ascii="Calibri"/>
          <w:b/>
          <w:w w:val="125"/>
          <w:sz w:val="22"/>
        </w:rPr>
        <w:t>Projects</w:t>
      </w:r>
      <w:r>
        <w:rPr>
          <w:rFonts w:ascii="Calibri"/>
          <w:b/>
          <w:spacing w:val="20"/>
          <w:w w:val="125"/>
          <w:sz w:val="22"/>
        </w:rPr>
        <w:t> </w:t>
      </w:r>
      <w:r>
        <w:rPr>
          <w:rFonts w:ascii="Calibri"/>
          <w:b/>
          <w:spacing w:val="-2"/>
          <w:w w:val="125"/>
          <w:sz w:val="22"/>
        </w:rPr>
        <w:t>Architect</w:t>
      </w:r>
    </w:p>
    <w:p>
      <w:pPr>
        <w:pStyle w:val="BodyText"/>
        <w:spacing w:before="139"/>
        <w:ind w:left="118"/>
      </w:pPr>
      <w:r>
        <w:rPr>
          <w:spacing w:val="-2"/>
        </w:rPr>
        <w:t>City,</w:t>
      </w:r>
      <w:r>
        <w:rPr>
          <w:spacing w:val="-9"/>
        </w:rPr>
        <w:t> </w:t>
      </w:r>
      <w:r>
        <w:rPr>
          <w:spacing w:val="-2"/>
        </w:rPr>
        <w:t>ST</w:t>
      </w:r>
      <w:r>
        <w:rPr>
          <w:spacing w:val="-15"/>
        </w:rPr>
        <w:t> </w:t>
      </w:r>
      <w:r>
        <w:rPr>
          <w:spacing w:val="-2"/>
          <w:w w:val="85"/>
        </w:rPr>
        <w:t>|</w:t>
      </w:r>
      <w:r>
        <w:rPr>
          <w:spacing w:val="-9"/>
        </w:rPr>
        <w:t> </w:t>
      </w:r>
      <w:r>
        <w:rPr>
          <w:spacing w:val="-2"/>
        </w:rPr>
        <w:t>(555)</w:t>
      </w:r>
      <w:r>
        <w:rPr>
          <w:spacing w:val="-8"/>
        </w:rPr>
        <w:t> </w:t>
      </w:r>
      <w:r>
        <w:rPr>
          <w:spacing w:val="-2"/>
        </w:rPr>
        <w:t>400-</w:t>
      </w:r>
      <w:r>
        <w:rPr>
          <w:spacing w:val="-4"/>
        </w:rPr>
        <w:t>9988</w:t>
      </w:r>
    </w:p>
    <w:p>
      <w:pPr>
        <w:pStyle w:val="BodyText"/>
        <w:spacing w:line="295" w:lineRule="auto" w:before="60"/>
        <w:ind w:left="118" w:right="6533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Portfolio</w:t>
      </w:r>
    </w:p>
    <w:p>
      <w:pPr>
        <w:spacing w:before="196"/>
        <w:ind w:left="118" w:right="0" w:firstLine="0"/>
        <w:jc w:val="left"/>
        <w:rPr>
          <w:b/>
          <w:sz w:val="22"/>
        </w:rPr>
      </w:pPr>
      <w:r>
        <w:rPr>
          <w:b/>
          <w:sz w:val="22"/>
        </w:rPr>
        <w:t>Architect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with</w:t>
      </w:r>
      <w:r>
        <w:rPr>
          <w:b/>
          <w:spacing w:val="5"/>
          <w:sz w:val="22"/>
        </w:rPr>
        <w:t> </w:t>
      </w:r>
      <w:r>
        <w:rPr>
          <w:b/>
          <w:sz w:val="22"/>
        </w:rPr>
        <w:t>12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years</w:t>
      </w:r>
      <w:r>
        <w:rPr>
          <w:b/>
          <w:spacing w:val="5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experience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working</w:t>
      </w:r>
      <w:r>
        <w:rPr>
          <w:b/>
          <w:spacing w:val="5"/>
          <w:sz w:val="22"/>
        </w:rPr>
        <w:t> </w:t>
      </w:r>
      <w:r>
        <w:rPr>
          <w:b/>
          <w:sz w:val="22"/>
        </w:rPr>
        <w:t>on</w:t>
      </w:r>
      <w:r>
        <w:rPr>
          <w:b/>
          <w:spacing w:val="5"/>
          <w:sz w:val="22"/>
        </w:rPr>
        <w:t> </w:t>
      </w:r>
      <w:r>
        <w:rPr>
          <w:b/>
          <w:sz w:val="22"/>
        </w:rPr>
        <w:t>civic</w:t>
      </w:r>
      <w:r>
        <w:rPr>
          <w:b/>
          <w:spacing w:val="5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5"/>
          <w:sz w:val="22"/>
        </w:rPr>
        <w:t> </w:t>
      </w:r>
      <w:r>
        <w:rPr>
          <w:b/>
          <w:sz w:val="22"/>
        </w:rPr>
        <w:t>federal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building</w:t>
      </w:r>
      <w:r>
        <w:rPr>
          <w:b/>
          <w:spacing w:val="5"/>
          <w:sz w:val="22"/>
        </w:rPr>
        <w:t> </w:t>
      </w:r>
      <w:r>
        <w:rPr>
          <w:b/>
          <w:spacing w:val="-2"/>
          <w:sz w:val="22"/>
        </w:rPr>
        <w:t>design</w:t>
      </w:r>
    </w:p>
    <w:p>
      <w:pPr>
        <w:spacing w:line="280" w:lineRule="auto" w:before="150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Specializes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procurement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processes,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federal</w:t>
      </w:r>
      <w:r>
        <w:rPr>
          <w:b/>
          <w:spacing w:val="-19"/>
          <w:w w:val="105"/>
          <w:sz w:val="22"/>
        </w:rPr>
        <w:t> </w:t>
      </w:r>
      <w:r>
        <w:rPr>
          <w:b/>
          <w:w w:val="105"/>
          <w:sz w:val="22"/>
        </w:rPr>
        <w:t>design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standards,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community- centered public projects.</w:t>
      </w:r>
    </w:p>
    <w:p>
      <w:pPr>
        <w:spacing w:after="0" w:line="280" w:lineRule="auto"/>
        <w:jc w:val="left"/>
        <w:rPr>
          <w:sz w:val="22"/>
        </w:rPr>
        <w:sectPr>
          <w:type w:val="continuous"/>
          <w:pgSz w:w="11920" w:h="16860"/>
          <w:pgMar w:top="1040" w:bottom="280" w:left="1220" w:right="1220"/>
        </w:sectPr>
      </w:pPr>
    </w:p>
    <w:p>
      <w:pPr>
        <w:pStyle w:val="BodyText"/>
        <w:ind w:left="0"/>
        <w:rPr>
          <w:b/>
        </w:rPr>
      </w:pPr>
    </w:p>
    <w:p>
      <w:pPr>
        <w:pStyle w:val="BodyText"/>
        <w:spacing w:before="196"/>
        <w:ind w:left="0"/>
        <w:rPr>
          <w:b/>
        </w:rPr>
      </w:pPr>
    </w:p>
    <w:p>
      <w:pPr>
        <w:spacing w:line="381" w:lineRule="auto" w:before="0"/>
        <w:ind w:left="490" w:right="943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866774</wp:posOffset>
                </wp:positionH>
                <wp:positionV relativeFrom="paragraph">
                  <wp:posOffset>55215</wp:posOffset>
                </wp:positionV>
                <wp:extent cx="38100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4.347715pt;width:3pt;height:3.75pt;mso-position-horizontal-relative:page;mso-position-vertical-relative:paragraph;z-index:15728640" id="docshape1" coordorigin="1365,87" coordsize="60,75" path="m1399,162l1391,162,1387,161,1365,136,1365,132,1365,113,1391,87,1399,87,1425,113,1425,136,1403,161,1399,162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866774</wp:posOffset>
                </wp:positionH>
                <wp:positionV relativeFrom="paragraph">
                  <wp:posOffset>312390</wp:posOffset>
                </wp:positionV>
                <wp:extent cx="38100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24.597713pt;width:3pt;height:3.75pt;mso-position-horizontal-relative:page;mso-position-vertical-relative:paragraph;z-index:15729152" id="docshape2" coordorigin="1365,492" coordsize="60,75" path="m1399,567l1391,567,1387,566,1365,541,1365,537,1365,518,1391,492,1399,492,1425,518,1425,541,1403,566,1399,567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866774</wp:posOffset>
                </wp:positionH>
                <wp:positionV relativeFrom="paragraph">
                  <wp:posOffset>579090</wp:posOffset>
                </wp:positionV>
                <wp:extent cx="38100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45.597713pt;width:3pt;height:3.75pt;mso-position-horizontal-relative:page;mso-position-vertical-relative:paragraph;z-index:15729664" id="docshape3" coordorigin="1365,912" coordsize="60,75" path="m1399,987l1391,987,1387,986,1365,961,1365,957,1365,938,1391,912,1399,912,1425,938,1425,961,1403,986,1399,987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05"/>
          <w:sz w:val="22"/>
        </w:rPr>
        <w:t>GSA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standards </w:t>
      </w:r>
      <w:r>
        <w:rPr>
          <w:b/>
          <w:spacing w:val="-2"/>
          <w:w w:val="105"/>
          <w:sz w:val="22"/>
        </w:rPr>
        <w:t>Federal</w:t>
      </w:r>
      <w:r>
        <w:rPr>
          <w:b/>
          <w:spacing w:val="-2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procurement </w:t>
      </w:r>
      <w:r>
        <w:rPr>
          <w:b/>
          <w:w w:val="105"/>
          <w:sz w:val="22"/>
        </w:rPr>
        <w:t>Civic space design</w:t>
      </w:r>
    </w:p>
    <w:p>
      <w:pPr>
        <w:spacing w:line="381" w:lineRule="auto" w:before="12"/>
        <w:ind w:left="490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866774</wp:posOffset>
                </wp:positionH>
                <wp:positionV relativeFrom="paragraph">
                  <wp:posOffset>62523</wp:posOffset>
                </wp:positionV>
                <wp:extent cx="381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4.923071pt;width:3pt;height:3.75pt;mso-position-horizontal-relative:page;mso-position-vertical-relative:paragraph;z-index:15730176" id="docshape4" coordorigin="1365,98" coordsize="60,75" path="m1399,173l1391,173,1387,173,1365,147,1365,143,1365,124,1391,98,1399,98,1425,124,1425,147,1403,173,1399,173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866774</wp:posOffset>
                </wp:positionH>
                <wp:positionV relativeFrom="paragraph">
                  <wp:posOffset>319697</wp:posOffset>
                </wp:positionV>
                <wp:extent cx="381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25.173069pt;width:3pt;height:3.75pt;mso-position-horizontal-relative:page;mso-position-vertical-relative:paragraph;z-index:15730688" id="docshape5" coordorigin="1365,503" coordsize="60,75" path="m1399,578l1391,578,1387,578,1365,552,1365,548,1365,529,1391,503,1399,503,1425,529,1425,552,1403,578,1399,578xe" filled="true" fillcolor="#0f297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05"/>
          <w:sz w:val="22"/>
        </w:rPr>
        <w:t>Code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security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compliance Stakeholder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engagement</w:t>
      </w:r>
    </w:p>
    <w:p>
      <w:pPr>
        <w:pStyle w:val="Heading1"/>
        <w:spacing w:before="179"/>
        <w:ind w:left="137"/>
        <w:jc w:val="left"/>
      </w:pPr>
      <w:r>
        <w:rPr>
          <w:b w:val="0"/>
        </w:rPr>
        <w:br w:type="column"/>
      </w:r>
      <w:r>
        <w:rPr>
          <w:color w:val="0F2973"/>
          <w:w w:val="130"/>
        </w:rPr>
        <w:t>Key</w:t>
      </w:r>
      <w:r>
        <w:rPr>
          <w:color w:val="0F2973"/>
          <w:spacing w:val="-10"/>
          <w:w w:val="130"/>
        </w:rPr>
        <w:t> </w:t>
      </w:r>
      <w:r>
        <w:rPr>
          <w:color w:val="0F2973"/>
          <w:spacing w:val="-2"/>
          <w:w w:val="130"/>
        </w:rPr>
        <w:t>Skills</w:t>
      </w:r>
    </w:p>
    <w:p>
      <w:pPr>
        <w:spacing w:after="0"/>
        <w:jc w:val="left"/>
        <w:sectPr>
          <w:type w:val="continuous"/>
          <w:pgSz w:w="11920" w:h="16860"/>
          <w:pgMar w:top="1040" w:bottom="280" w:left="1220" w:right="1220"/>
          <w:cols w:num="2" w:equalWidth="0">
            <w:col w:w="3735" w:space="40"/>
            <w:col w:w="5705"/>
          </w:cols>
        </w:sectPr>
      </w:pPr>
    </w:p>
    <w:p>
      <w:pPr>
        <w:spacing w:before="70"/>
        <w:ind w:left="3" w:right="0" w:firstLine="0"/>
        <w:jc w:val="center"/>
        <w:rPr>
          <w:rFonts w:ascii="Calibri"/>
          <w:b/>
          <w:sz w:val="33"/>
        </w:rPr>
      </w:pPr>
      <w:r>
        <w:rPr>
          <w:rFonts w:ascii="Calibri"/>
          <w:b/>
          <w:color w:val="0F2973"/>
          <w:w w:val="125"/>
          <w:sz w:val="33"/>
        </w:rPr>
        <w:t>Professional</w:t>
      </w:r>
      <w:r>
        <w:rPr>
          <w:rFonts w:ascii="Calibri"/>
          <w:b/>
          <w:color w:val="0F2973"/>
          <w:spacing w:val="31"/>
          <w:w w:val="130"/>
          <w:sz w:val="33"/>
        </w:rPr>
        <w:t> </w:t>
      </w:r>
      <w:r>
        <w:rPr>
          <w:rFonts w:ascii="Calibri"/>
          <w:b/>
          <w:color w:val="0F2973"/>
          <w:spacing w:val="-2"/>
          <w:w w:val="130"/>
          <w:sz w:val="33"/>
        </w:rPr>
        <w:t>Experience</w:t>
      </w:r>
    </w:p>
    <w:p>
      <w:pPr>
        <w:spacing w:before="107"/>
        <w:ind w:left="118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w w:val="125"/>
          <w:sz w:val="22"/>
        </w:rPr>
        <w:t>Senior</w:t>
      </w:r>
      <w:r>
        <w:rPr>
          <w:rFonts w:ascii="Calibri"/>
          <w:b/>
          <w:spacing w:val="10"/>
          <w:w w:val="125"/>
          <w:sz w:val="22"/>
        </w:rPr>
        <w:t> </w:t>
      </w:r>
      <w:r>
        <w:rPr>
          <w:rFonts w:ascii="Calibri"/>
          <w:b/>
          <w:spacing w:val="-2"/>
          <w:w w:val="125"/>
          <w:sz w:val="22"/>
        </w:rPr>
        <w:t>Architect</w:t>
      </w:r>
    </w:p>
    <w:p>
      <w:pPr>
        <w:tabs>
          <w:tab w:pos="7419" w:val="left" w:leader="none"/>
        </w:tabs>
        <w:spacing w:before="79"/>
        <w:ind w:left="11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StateLine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Civic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Design,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Raleigh,</w:t>
      </w:r>
      <w:r>
        <w:rPr>
          <w:i/>
          <w:spacing w:val="-10"/>
          <w:sz w:val="22"/>
        </w:rPr>
        <w:t> </w:t>
      </w:r>
      <w:r>
        <w:rPr>
          <w:i/>
          <w:spacing w:val="-5"/>
          <w:sz w:val="22"/>
        </w:rPr>
        <w:t>NC</w:t>
      </w:r>
      <w:r>
        <w:rPr>
          <w:i/>
          <w:sz w:val="22"/>
        </w:rPr>
        <w:tab/>
        <w:t>June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2016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367" w:lineRule="auto" w:before="134"/>
        <w:ind w:right="503"/>
      </w:pPr>
      <w:r>
        <w:rPr>
          <w:position w:val="5"/>
        </w:rPr>
        <w:drawing>
          <wp:inline distT="0" distB="0" distL="0" distR="0">
            <wp:extent cx="38100" cy="3809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</w:t>
      </w:r>
      <w:r>
        <w:rPr>
          <w:spacing w:val="-18"/>
          <w:w w:val="105"/>
        </w:rPr>
        <w:t> </w:t>
      </w:r>
      <w:r>
        <w:rPr>
          <w:w w:val="105"/>
        </w:rPr>
        <w:t>courthouses,</w:t>
      </w:r>
      <w:r>
        <w:rPr>
          <w:spacing w:val="-17"/>
          <w:w w:val="105"/>
        </w:rPr>
        <w:t> </w:t>
      </w:r>
      <w:r>
        <w:rPr>
          <w:w w:val="105"/>
        </w:rPr>
        <w:t>libraries,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municipal</w:t>
      </w:r>
      <w:r>
        <w:rPr>
          <w:spacing w:val="-20"/>
          <w:w w:val="105"/>
        </w:rPr>
        <w:t> </w:t>
      </w:r>
      <w:r>
        <w:rPr>
          <w:w w:val="105"/>
        </w:rPr>
        <w:t>centers</w:t>
      </w:r>
      <w:r>
        <w:rPr>
          <w:spacing w:val="-18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state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federal</w:t>
      </w:r>
      <w:r>
        <w:rPr>
          <w:spacing w:val="-20"/>
          <w:w w:val="105"/>
        </w:rPr>
        <w:t> </w:t>
      </w:r>
      <w:r>
        <w:rPr>
          <w:w w:val="105"/>
        </w:rPr>
        <w:t>clients </w:t>
      </w:r>
      <w:r>
        <w:rPr>
          <w:position w:val="5"/>
        </w:rPr>
        <w:drawing>
          <wp:inline distT="0" distB="0" distL="0" distR="0">
            <wp:extent cx="38100" cy="380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Managed submittals through federal bidding systems and GSA requirements</w:t>
      </w:r>
    </w:p>
    <w:p>
      <w:pPr>
        <w:pStyle w:val="BodyText"/>
        <w:tabs>
          <w:tab w:pos="490" w:val="left" w:leader="none"/>
        </w:tabs>
        <w:spacing w:line="254" w:lineRule="exact"/>
      </w:pPr>
      <w:r>
        <w:rPr>
          <w:position w:val="5"/>
        </w:rPr>
        <w:drawing>
          <wp:inline distT="0" distB="0" distL="0" distR="0">
            <wp:extent cx="38100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Led</w:t>
      </w:r>
      <w:r>
        <w:rPr>
          <w:spacing w:val="4"/>
          <w:w w:val="105"/>
        </w:rPr>
        <w:t> </w:t>
      </w:r>
      <w:r>
        <w:rPr>
          <w:w w:val="105"/>
        </w:rPr>
        <w:t>public</w:t>
      </w:r>
      <w:r>
        <w:rPr>
          <w:spacing w:val="4"/>
          <w:w w:val="105"/>
        </w:rPr>
        <w:t> </w:t>
      </w:r>
      <w:r>
        <w:rPr>
          <w:w w:val="105"/>
        </w:rPr>
        <w:t>engagement</w:t>
      </w:r>
      <w:r>
        <w:rPr>
          <w:spacing w:val="5"/>
          <w:w w:val="105"/>
        </w:rPr>
        <w:t> </w:t>
      </w:r>
      <w:r>
        <w:rPr>
          <w:w w:val="105"/>
        </w:rPr>
        <w:t>sessions</w:t>
      </w:r>
      <w:r>
        <w:rPr>
          <w:spacing w:val="4"/>
          <w:w w:val="105"/>
        </w:rPr>
        <w:t> </w:t>
      </w:r>
      <w:r>
        <w:rPr>
          <w:w w:val="105"/>
        </w:rPr>
        <w:t>and</w:t>
      </w:r>
      <w:r>
        <w:rPr>
          <w:spacing w:val="5"/>
          <w:w w:val="105"/>
        </w:rPr>
        <w:t> </w:t>
      </w:r>
      <w:r>
        <w:rPr>
          <w:w w:val="105"/>
        </w:rPr>
        <w:t>accessibility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reviews</w:t>
      </w:r>
    </w:p>
    <w:p>
      <w:pPr>
        <w:pStyle w:val="BodyText"/>
        <w:tabs>
          <w:tab w:pos="490" w:val="left" w:leader="none"/>
        </w:tabs>
        <w:spacing w:before="135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Delivered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projects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high-security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environments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multi-phase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rollouts</w:t>
      </w:r>
    </w:p>
    <w:p>
      <w:pPr>
        <w:spacing w:before="177"/>
        <w:ind w:left="118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spacing w:val="-2"/>
          <w:w w:val="130"/>
          <w:sz w:val="22"/>
        </w:rPr>
        <w:t>Architect</w:t>
      </w:r>
    </w:p>
    <w:p>
      <w:pPr>
        <w:tabs>
          <w:tab w:pos="7324" w:val="left" w:leader="none"/>
        </w:tabs>
        <w:spacing w:before="79"/>
        <w:ind w:left="118" w:right="0" w:firstLine="0"/>
        <w:jc w:val="both"/>
        <w:rPr>
          <w:i/>
          <w:sz w:val="22"/>
        </w:rPr>
      </w:pPr>
      <w:r>
        <w:rPr>
          <w:i/>
          <w:sz w:val="22"/>
        </w:rPr>
        <w:t>CommonGround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Studio,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Raleigh,</w:t>
      </w:r>
      <w:r>
        <w:rPr>
          <w:i/>
          <w:spacing w:val="-13"/>
          <w:sz w:val="22"/>
        </w:rPr>
        <w:t> </w:t>
      </w:r>
      <w:r>
        <w:rPr>
          <w:i/>
          <w:spacing w:val="-5"/>
          <w:sz w:val="22"/>
        </w:rPr>
        <w:t>NC</w:t>
      </w:r>
      <w:r>
        <w:rPr>
          <w:i/>
          <w:sz w:val="22"/>
        </w:rPr>
        <w:tab/>
        <w:t>July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2012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4"/>
          <w:sz w:val="22"/>
        </w:rPr>
        <w:t> </w:t>
      </w:r>
      <w:r>
        <w:rPr>
          <w:i/>
          <w:spacing w:val="-4"/>
          <w:sz w:val="22"/>
        </w:rPr>
        <w:t>2016</w:t>
      </w:r>
    </w:p>
    <w:p>
      <w:pPr>
        <w:pStyle w:val="BodyText"/>
        <w:tabs>
          <w:tab w:pos="490" w:val="left" w:leader="none"/>
        </w:tabs>
        <w:spacing w:line="367" w:lineRule="auto" w:before="135"/>
        <w:ind w:right="2384"/>
        <w:jc w:val="both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Produced</w:t>
      </w:r>
      <w:r>
        <w:rPr>
          <w:spacing w:val="-11"/>
          <w:w w:val="105"/>
        </w:rPr>
        <w:t> </w:t>
      </w:r>
      <w:r>
        <w:rPr>
          <w:w w:val="105"/>
        </w:rPr>
        <w:t>full</w:t>
      </w:r>
      <w:r>
        <w:rPr>
          <w:spacing w:val="-18"/>
          <w:w w:val="105"/>
        </w:rPr>
        <w:t> </w:t>
      </w:r>
      <w:r>
        <w:rPr>
          <w:w w:val="105"/>
        </w:rPr>
        <w:t>documentation</w:t>
      </w:r>
      <w:r>
        <w:rPr>
          <w:spacing w:val="-10"/>
          <w:w w:val="105"/>
        </w:rPr>
        <w:t> </w:t>
      </w:r>
      <w:r>
        <w:rPr>
          <w:w w:val="105"/>
        </w:rPr>
        <w:t>sets</w:t>
      </w:r>
      <w:r>
        <w:rPr>
          <w:spacing w:val="-11"/>
          <w:w w:val="105"/>
        </w:rPr>
        <w:t> </w:t>
      </w:r>
      <w:r>
        <w:rPr>
          <w:w w:val="105"/>
        </w:rPr>
        <w:t>for</w:t>
      </w:r>
      <w:r>
        <w:rPr>
          <w:spacing w:val="-16"/>
          <w:w w:val="105"/>
        </w:rPr>
        <w:t> </w:t>
      </w:r>
      <w:r>
        <w:rPr>
          <w:w w:val="105"/>
        </w:rPr>
        <w:t>city</w:t>
      </w:r>
      <w:r>
        <w:rPr>
          <w:spacing w:val="-17"/>
          <w:w w:val="105"/>
        </w:rPr>
        <w:t> </w:t>
      </w:r>
      <w:r>
        <w:rPr>
          <w:w w:val="105"/>
        </w:rPr>
        <w:t>planning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approval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Reviewed</w:t>
      </w:r>
      <w:r>
        <w:rPr>
          <w:spacing w:val="-1"/>
          <w:w w:val="105"/>
        </w:rPr>
        <w:t> </w:t>
      </w:r>
      <w:r>
        <w:rPr>
          <w:w w:val="105"/>
        </w:rPr>
        <w:t>contractor</w:t>
      </w:r>
      <w:r>
        <w:rPr>
          <w:spacing w:val="-7"/>
          <w:w w:val="105"/>
        </w:rPr>
        <w:t> </w:t>
      </w:r>
      <w:r>
        <w:rPr>
          <w:w w:val="105"/>
        </w:rPr>
        <w:t>submittals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led</w:t>
      </w:r>
      <w:r>
        <w:rPr>
          <w:spacing w:val="-1"/>
          <w:w w:val="105"/>
        </w:rPr>
        <w:t> </w:t>
      </w:r>
      <w:r>
        <w:rPr>
          <w:w w:val="105"/>
        </w:rPr>
        <w:t>QA/QC</w:t>
      </w:r>
      <w:r>
        <w:rPr>
          <w:spacing w:val="-1"/>
          <w:w w:val="105"/>
        </w:rPr>
        <w:t> </w:t>
      </w:r>
      <w:r>
        <w:rPr>
          <w:w w:val="105"/>
        </w:rPr>
        <w:t>site</w:t>
      </w:r>
      <w:r>
        <w:rPr>
          <w:spacing w:val="-1"/>
          <w:w w:val="105"/>
        </w:rPr>
        <w:t> </w:t>
      </w:r>
      <w:r>
        <w:rPr>
          <w:w w:val="105"/>
        </w:rPr>
        <w:t>inspections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Contributed to public sector proposals and RFP submissions</w:t>
      </w:r>
    </w:p>
    <w:p>
      <w:pPr>
        <w:pStyle w:val="Heading1"/>
        <w:spacing w:before="84"/>
      </w:pPr>
      <w:r>
        <w:rPr>
          <w:color w:val="0F2973"/>
          <w:spacing w:val="-2"/>
          <w:w w:val="130"/>
        </w:rPr>
        <w:t>Education</w:t>
      </w:r>
    </w:p>
    <w:p>
      <w:pPr>
        <w:spacing w:line="324" w:lineRule="auto" w:before="107"/>
        <w:ind w:left="118" w:right="4344" w:firstLine="0"/>
        <w:jc w:val="left"/>
        <w:rPr>
          <w:sz w:val="22"/>
        </w:rPr>
      </w:pPr>
      <w:r>
        <w:rPr>
          <w:rFonts w:ascii="Calibri"/>
          <w:b/>
          <w:w w:val="110"/>
          <w:sz w:val="22"/>
        </w:rPr>
        <w:t>Master</w:t>
      </w:r>
      <w:r>
        <w:rPr>
          <w:rFonts w:ascii="Calibri"/>
          <w:b/>
          <w:spacing w:val="40"/>
          <w:w w:val="110"/>
          <w:sz w:val="22"/>
        </w:rPr>
        <w:t> </w:t>
      </w:r>
      <w:r>
        <w:rPr>
          <w:rFonts w:ascii="Calibri"/>
          <w:b/>
          <w:w w:val="110"/>
          <w:sz w:val="22"/>
        </w:rPr>
        <w:t>of</w:t>
      </w:r>
      <w:r>
        <w:rPr>
          <w:rFonts w:ascii="Calibri"/>
          <w:b/>
          <w:spacing w:val="40"/>
          <w:w w:val="110"/>
          <w:sz w:val="22"/>
        </w:rPr>
        <w:t> </w:t>
      </w:r>
      <w:r>
        <w:rPr>
          <w:rFonts w:ascii="Calibri"/>
          <w:b/>
          <w:w w:val="110"/>
          <w:sz w:val="22"/>
        </w:rPr>
        <w:t>Architecture</w:t>
      </w:r>
      <w:r>
        <w:rPr>
          <w:rFonts w:ascii="Calibri"/>
          <w:b/>
          <w:spacing w:val="40"/>
          <w:w w:val="110"/>
          <w:sz w:val="22"/>
        </w:rPr>
        <w:t> </w:t>
      </w:r>
      <w:r>
        <w:rPr>
          <w:rFonts w:ascii="Calibri"/>
          <w:b/>
          <w:w w:val="110"/>
          <w:sz w:val="22"/>
        </w:rPr>
        <w:t>(M.Arch)</w:t>
      </w:r>
      <w:r>
        <w:rPr>
          <w:rFonts w:ascii="Calibri"/>
          <w:b/>
          <w:spacing w:val="80"/>
          <w:w w:val="110"/>
          <w:sz w:val="22"/>
        </w:rPr>
        <w:t> </w:t>
      </w:r>
      <w:r>
        <w:rPr>
          <w:w w:val="110"/>
          <w:sz w:val="22"/>
        </w:rPr>
        <w:t>May 2012 </w:t>
      </w:r>
      <w:r>
        <w:rPr>
          <w:sz w:val="22"/>
        </w:rPr>
        <w:t>North Carolina State University, Raleigh, NC</w:t>
      </w:r>
    </w:p>
    <w:sectPr>
      <w:type w:val="continuous"/>
      <w:pgSz w:w="11920" w:h="16860"/>
      <w:pgMar w:top="104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44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0"/>
      <w:ind w:left="3"/>
      <w:jc w:val="center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0"/>
      <w:ind w:left="118"/>
    </w:pPr>
    <w:rPr>
      <w:rFonts w:ascii="Calibri" w:hAnsi="Calibri" w:eastAsia="Calibri" w:cs="Calibri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2025-10-03T11:13:57Z</dcterms:created>
  <dcterms:modified xsi:type="dcterms:W3CDTF">2025-10-03T11:13:57Z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