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20027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200275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4"/>
                              </w:rPr>
                              <w:t>Skyler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2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Lewis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33"/>
                              </w:rPr>
                              <w:t>Commercial Property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45"/>
                              <w:ind w:left="331" w:right="100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73.25pt;mso-position-horizontal-relative:page;mso-position-vertical-relative:paragraph;z-index:15733760" type="#_x0000_t202" id="docshape3" filled="true" fillcolor="#e360ca" stroked="false">
                <v:textbox inset="0,0,0,0">
                  <w:txbxContent>
                    <w:p>
                      <w:pPr>
                        <w:pStyle w:val="BodyText"/>
                        <w:spacing w:before="6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4"/>
                        </w:rPr>
                        <w:t>Skyler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2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Lewis</w:t>
                      </w:r>
                    </w:p>
                    <w:p>
                      <w:pPr>
                        <w:spacing w:line="285" w:lineRule="auto" w:before="167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33"/>
                        </w:rPr>
                        <w:t>Commercial Property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80" w:lineRule="auto" w:before="145"/>
                        <w:ind w:left="331" w:right="100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(123)</w:t>
                      </w:r>
                      <w:r>
                        <w:rPr>
                          <w:color w:val="FFFFFF"/>
                          <w:spacing w:val="7"/>
                        </w:rPr>
                        <w:t> </w:t>
                      </w:r>
                      <w:r>
                        <w:rPr>
                          <w:color w:val="FFFFFF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</w:rPr>
                        <w:t>7890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E360CA"/>
          <w:spacing w:val="-2"/>
        </w:rPr>
        <w:t>Professional</w:t>
      </w:r>
      <w:r>
        <w:rPr>
          <w:color w:val="E360CA"/>
          <w:spacing w:val="2"/>
        </w:rPr>
        <w:t> </w:t>
      </w:r>
      <w:r>
        <w:rPr>
          <w:color w:val="E360CA"/>
          <w:spacing w:val="-2"/>
        </w:rPr>
        <w:t>Experience</w:t>
      </w:r>
    </w:p>
    <w:p>
      <w:pPr>
        <w:pStyle w:val="Heading2"/>
        <w:spacing w:before="279"/>
      </w:pPr>
      <w:r>
        <w:rPr>
          <w:color w:val="58585B"/>
        </w:rPr>
        <w:t>Commercial</w:t>
      </w:r>
      <w:r>
        <w:rPr>
          <w:color w:val="58585B"/>
          <w:spacing w:val="2"/>
        </w:rPr>
        <w:t> </w:t>
      </w:r>
      <w:r>
        <w:rPr>
          <w:color w:val="58585B"/>
        </w:rPr>
        <w:t>Property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Manager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Horizon</w:t>
      </w:r>
      <w:r>
        <w:rPr>
          <w:i/>
          <w:color w:val="58585B"/>
          <w:spacing w:val="-1"/>
          <w:w w:val="95"/>
          <w:sz w:val="22"/>
        </w:rPr>
        <w:t> </w:t>
      </w:r>
      <w:r>
        <w:rPr>
          <w:i/>
          <w:color w:val="58585B"/>
          <w:w w:val="95"/>
          <w:sz w:val="22"/>
        </w:rPr>
        <w:t>CRE,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Phoenix,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AZ</w:t>
      </w:r>
      <w:r>
        <w:rPr>
          <w:i/>
          <w:color w:val="58585B"/>
          <w:spacing w:val="-1"/>
          <w:w w:val="95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June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w w:val="95"/>
          <w:sz w:val="22"/>
        </w:rPr>
        <w:t>2016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254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</w:t>
      </w:r>
      <w:r>
        <w:rPr>
          <w:color w:val="58585B"/>
          <w:spacing w:val="-2"/>
        </w:rPr>
        <w:t> </w:t>
      </w:r>
      <w:r>
        <w:rPr>
          <w:color w:val="58585B"/>
        </w:rPr>
        <w:t>500K</w:t>
      </w:r>
      <w:r>
        <w:rPr>
          <w:color w:val="58585B"/>
          <w:spacing w:val="-1"/>
        </w:rPr>
        <w:t> </w:t>
      </w:r>
      <w:r>
        <w:rPr>
          <w:color w:val="58585B"/>
        </w:rPr>
        <w:t>sq.</w:t>
      </w:r>
      <w:r>
        <w:rPr>
          <w:color w:val="58585B"/>
          <w:spacing w:val="-2"/>
        </w:rPr>
        <w:t> </w:t>
      </w:r>
      <w:r>
        <w:rPr>
          <w:color w:val="58585B"/>
        </w:rPr>
        <w:t>ft.</w:t>
      </w:r>
      <w:r>
        <w:rPr>
          <w:color w:val="58585B"/>
          <w:spacing w:val="-1"/>
        </w:rPr>
        <w:t> </w:t>
      </w:r>
      <w:r>
        <w:rPr>
          <w:color w:val="58585B"/>
        </w:rPr>
        <w:t>of</w:t>
      </w:r>
      <w:r>
        <w:rPr>
          <w:color w:val="58585B"/>
          <w:spacing w:val="-2"/>
        </w:rPr>
        <w:t> </w:t>
      </w:r>
      <w:r>
        <w:rPr>
          <w:color w:val="58585B"/>
        </w:rPr>
        <w:t>mixed-use</w:t>
      </w:r>
      <w:r>
        <w:rPr>
          <w:color w:val="58585B"/>
          <w:spacing w:val="-1"/>
        </w:rPr>
        <w:t> </w:t>
      </w:r>
      <w:r>
        <w:rPr>
          <w:color w:val="58585B"/>
        </w:rPr>
        <w:t>commercial</w:t>
      </w:r>
      <w:r>
        <w:rPr>
          <w:color w:val="58585B"/>
          <w:spacing w:val="-2"/>
        </w:rPr>
        <w:t> space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5003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Negotiated</w:t>
      </w:r>
      <w:r>
        <w:rPr>
          <w:color w:val="58585B"/>
          <w:spacing w:val="-11"/>
        </w:rPr>
        <w:t> </w:t>
      </w:r>
      <w:r>
        <w:rPr>
          <w:color w:val="58585B"/>
        </w:rPr>
        <w:t>lease</w:t>
      </w:r>
      <w:r>
        <w:rPr>
          <w:color w:val="58585B"/>
          <w:spacing w:val="-11"/>
        </w:rPr>
        <w:t> </w:t>
      </w:r>
      <w:r>
        <w:rPr>
          <w:color w:val="58585B"/>
        </w:rPr>
        <w:t>renewals,</w:t>
      </w:r>
      <w:r>
        <w:rPr>
          <w:color w:val="58585B"/>
          <w:spacing w:val="-11"/>
        </w:rPr>
        <w:t> </w:t>
      </w:r>
      <w:r>
        <w:rPr>
          <w:color w:val="58585B"/>
        </w:rPr>
        <w:t>resulting</w:t>
      </w:r>
      <w:r>
        <w:rPr>
          <w:color w:val="58585B"/>
          <w:spacing w:val="-11"/>
        </w:rPr>
        <w:t> </w:t>
      </w:r>
      <w:r>
        <w:rPr>
          <w:color w:val="58585B"/>
        </w:rPr>
        <w:t>in</w:t>
      </w:r>
      <w:r>
        <w:rPr>
          <w:color w:val="58585B"/>
          <w:spacing w:val="-11"/>
        </w:rPr>
        <w:t> </w:t>
      </w:r>
      <w:r>
        <w:rPr>
          <w:color w:val="58585B"/>
        </w:rPr>
        <w:t>a</w:t>
      </w:r>
      <w:r>
        <w:rPr>
          <w:color w:val="58585B"/>
          <w:spacing w:val="-11"/>
        </w:rPr>
        <w:t> </w:t>
      </w:r>
      <w:r>
        <w:rPr>
          <w:color w:val="58585B"/>
        </w:rPr>
        <w:t>20%</w:t>
      </w:r>
      <w:r>
        <w:rPr>
          <w:color w:val="58585B"/>
          <w:spacing w:val="-11"/>
        </w:rPr>
        <w:t> </w:t>
      </w:r>
      <w:r>
        <w:rPr>
          <w:color w:val="58585B"/>
        </w:rPr>
        <w:t>increase</w:t>
      </w:r>
      <w:r>
        <w:rPr>
          <w:color w:val="58585B"/>
          <w:spacing w:val="-11"/>
        </w:rPr>
        <w:t> </w:t>
      </w:r>
      <w:r>
        <w:rPr>
          <w:color w:val="58585B"/>
        </w:rPr>
        <w:t>in</w:t>
      </w:r>
      <w:r>
        <w:rPr>
          <w:color w:val="58585B"/>
          <w:spacing w:val="-11"/>
        </w:rPr>
        <w:t> </w:t>
      </w:r>
      <w:r>
        <w:rPr>
          <w:color w:val="58585B"/>
        </w:rPr>
        <w:t>rental </w:t>
      </w:r>
      <w:r>
        <w:rPr>
          <w:color w:val="58585B"/>
          <w:spacing w:val="-2"/>
        </w:rPr>
        <w:t>income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</w:rPr>
        <w:t>Led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capital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improvement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projects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totaling</w:t>
      </w:r>
      <w:r>
        <w:rPr>
          <w:color w:val="58585B"/>
          <w:spacing w:val="-12"/>
        </w:rPr>
        <w:t> </w:t>
      </w:r>
      <w:r>
        <w:rPr>
          <w:color w:val="58585B"/>
          <w:spacing w:val="-4"/>
        </w:rPr>
        <w:t>$2.1M</w:t>
      </w:r>
    </w:p>
    <w:p>
      <w:pPr>
        <w:pStyle w:val="BodyText"/>
        <w:spacing w:before="9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780" w:bottom="280" w:left="220" w:right="0"/>
        </w:sectPr>
      </w:pPr>
    </w:p>
    <w:p>
      <w:pPr>
        <w:pStyle w:val="Heading2"/>
        <w:spacing w:before="102"/>
      </w:pPr>
      <w:r>
        <w:rPr>
          <w:color w:val="58585B"/>
        </w:rPr>
        <w:t>Facilities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Coordinator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95"/>
          <w:sz w:val="22"/>
        </w:rPr>
        <w:t>Jamison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Retail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Group,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Phoenix,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AZ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85"/>
          <w:sz w:val="22"/>
        </w:rPr>
        <w:t>|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2013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w w:val="95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w w:val="95"/>
          <w:sz w:val="22"/>
        </w:rPr>
        <w:t>May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2016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Supported operations across 8 properties and served as tenant </w:t>
      </w:r>
      <w:r>
        <w:rPr>
          <w:color w:val="58585B"/>
          <w:spacing w:val="-2"/>
          <w:w w:val="105"/>
        </w:rPr>
        <w:t>liaison</w:t>
      </w:r>
    </w:p>
    <w:p>
      <w:pPr>
        <w:pStyle w:val="BodyText"/>
        <w:tabs>
          <w:tab w:pos="486" w:val="left" w:leader="none"/>
        </w:tabs>
        <w:spacing w:before="103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Oversaw</w:t>
      </w:r>
      <w:r>
        <w:rPr>
          <w:color w:val="58585B"/>
          <w:spacing w:val="-4"/>
        </w:rPr>
        <w:t> </w:t>
      </w:r>
      <w:r>
        <w:rPr>
          <w:color w:val="58585B"/>
        </w:rPr>
        <w:t>service</w:t>
      </w:r>
      <w:r>
        <w:rPr>
          <w:color w:val="58585B"/>
          <w:spacing w:val="-4"/>
        </w:rPr>
        <w:t> </w:t>
      </w:r>
      <w:r>
        <w:rPr>
          <w:color w:val="58585B"/>
        </w:rPr>
        <w:t>contracts</w:t>
      </w:r>
      <w:r>
        <w:rPr>
          <w:color w:val="58585B"/>
          <w:spacing w:val="-4"/>
        </w:rPr>
        <w:t> </w:t>
      </w:r>
      <w:r>
        <w:rPr>
          <w:color w:val="58585B"/>
        </w:rPr>
        <w:t>and</w:t>
      </w:r>
      <w:r>
        <w:rPr>
          <w:color w:val="58585B"/>
          <w:spacing w:val="-4"/>
        </w:rPr>
        <w:t> </w:t>
      </w:r>
      <w:r>
        <w:rPr>
          <w:color w:val="58585B"/>
        </w:rPr>
        <w:t>managed</w:t>
      </w:r>
      <w:r>
        <w:rPr>
          <w:color w:val="58585B"/>
          <w:spacing w:val="-4"/>
        </w:rPr>
        <w:t> </w:t>
      </w:r>
      <w:r>
        <w:rPr>
          <w:color w:val="58585B"/>
        </w:rPr>
        <w:t>tenant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buildouts</w:t>
      </w: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line="20" w:lineRule="exact"/>
        <w:ind w:left="110" w:right="-18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71"/>
      </w:pPr>
      <w:r>
        <w:rPr>
          <w:color w:val="E360CA"/>
          <w:spacing w:val="-2"/>
        </w:rPr>
        <w:t>Education</w:t>
      </w:r>
    </w:p>
    <w:p>
      <w:pPr>
        <w:pStyle w:val="Heading2"/>
        <w:spacing w:before="278"/>
      </w:pPr>
      <w:r>
        <w:rPr>
          <w:color w:val="58585B"/>
        </w:rPr>
        <w:t>Bachelor</w:t>
      </w:r>
      <w:r>
        <w:rPr>
          <w:color w:val="58585B"/>
          <w:spacing w:val="-11"/>
        </w:rPr>
        <w:t> </w:t>
      </w:r>
      <w:r>
        <w:rPr>
          <w:color w:val="58585B"/>
        </w:rPr>
        <w:t>of</w:t>
      </w:r>
      <w:r>
        <w:rPr>
          <w:color w:val="58585B"/>
          <w:spacing w:val="-11"/>
        </w:rPr>
        <w:t> </w:t>
      </w:r>
      <w:r>
        <w:rPr>
          <w:color w:val="58585B"/>
        </w:rPr>
        <w:t>Science</w:t>
      </w:r>
      <w:r>
        <w:rPr>
          <w:color w:val="58585B"/>
          <w:spacing w:val="-10"/>
        </w:rPr>
        <w:t> </w:t>
      </w:r>
      <w:r>
        <w:rPr>
          <w:color w:val="58585B"/>
        </w:rPr>
        <w:t>in</w:t>
      </w:r>
      <w:r>
        <w:rPr>
          <w:color w:val="58585B"/>
          <w:spacing w:val="-11"/>
        </w:rPr>
        <w:t> </w:t>
      </w:r>
      <w:r>
        <w:rPr>
          <w:color w:val="58585B"/>
        </w:rPr>
        <w:t>Facility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Management</w:t>
      </w:r>
    </w:p>
    <w:p>
      <w:pPr>
        <w:pStyle w:val="BodyText"/>
        <w:spacing w:before="32"/>
        <w:ind w:left="114"/>
      </w:pPr>
      <w:r>
        <w:rPr>
          <w:color w:val="58585B"/>
          <w:w w:val="95"/>
        </w:rPr>
        <w:t>Arizona</w:t>
      </w:r>
      <w:r>
        <w:rPr>
          <w:color w:val="58585B"/>
          <w:spacing w:val="6"/>
        </w:rPr>
        <w:t> </w:t>
      </w:r>
      <w:r>
        <w:rPr>
          <w:color w:val="58585B"/>
          <w:w w:val="95"/>
        </w:rPr>
        <w:t>State</w:t>
      </w:r>
      <w:r>
        <w:rPr>
          <w:color w:val="58585B"/>
          <w:spacing w:val="7"/>
        </w:rPr>
        <w:t> </w:t>
      </w:r>
      <w:r>
        <w:rPr>
          <w:color w:val="58585B"/>
          <w:w w:val="95"/>
        </w:rPr>
        <w:t>University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7"/>
        </w:rPr>
        <w:t> </w:t>
      </w:r>
      <w:r>
        <w:rPr>
          <w:color w:val="58585B"/>
          <w:w w:val="95"/>
        </w:rPr>
        <w:t>Graduated:</w:t>
      </w:r>
      <w:r>
        <w:rPr>
          <w:color w:val="58585B"/>
          <w:spacing w:val="6"/>
        </w:rPr>
        <w:t> </w:t>
      </w:r>
      <w:r>
        <w:rPr>
          <w:color w:val="58585B"/>
          <w:w w:val="95"/>
        </w:rPr>
        <w:t>May</w:t>
      </w:r>
      <w:r>
        <w:rPr>
          <w:color w:val="58585B"/>
          <w:spacing w:val="7"/>
        </w:rPr>
        <w:t> </w:t>
      </w:r>
      <w:r>
        <w:rPr>
          <w:color w:val="58585B"/>
          <w:spacing w:val="-4"/>
          <w:w w:val="95"/>
        </w:rPr>
        <w:t>2012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2"/>
        <w:spacing w:line="280" w:lineRule="auto"/>
        <w:ind w:right="293"/>
        <w:rPr>
          <w:rFonts w:ascii="Trebuchet MS"/>
        </w:rPr>
      </w:pPr>
      <w:r>
        <w:rPr>
          <w:rFonts w:ascii="Trebuchet MS"/>
          <w:color w:val="58585B"/>
          <w:spacing w:val="-2"/>
        </w:rPr>
        <w:t>Commercial</w:t>
      </w:r>
      <w:r>
        <w:rPr>
          <w:rFonts w:ascii="Trebuchet MS"/>
          <w:color w:val="58585B"/>
          <w:spacing w:val="-8"/>
        </w:rPr>
        <w:t> </w:t>
      </w:r>
      <w:r>
        <w:rPr>
          <w:rFonts w:ascii="Trebuchet MS"/>
          <w:color w:val="58585B"/>
          <w:spacing w:val="-2"/>
        </w:rPr>
        <w:t>Property</w:t>
      </w:r>
      <w:r>
        <w:rPr>
          <w:rFonts w:ascii="Trebuchet MS"/>
          <w:color w:val="58585B"/>
          <w:spacing w:val="-8"/>
        </w:rPr>
        <w:t> </w:t>
      </w:r>
      <w:r>
        <w:rPr>
          <w:rFonts w:ascii="Trebuchet MS"/>
          <w:color w:val="58585B"/>
          <w:spacing w:val="-2"/>
        </w:rPr>
        <w:t>Manager </w:t>
      </w:r>
      <w:r>
        <w:rPr>
          <w:rFonts w:ascii="Trebuchet MS"/>
          <w:color w:val="58585B"/>
        </w:rPr>
        <w:t>with</w:t>
      </w:r>
      <w:r>
        <w:rPr>
          <w:rFonts w:ascii="Trebuchet MS"/>
          <w:color w:val="58585B"/>
          <w:spacing w:val="-3"/>
        </w:rPr>
        <w:t> </w:t>
      </w:r>
      <w:r>
        <w:rPr>
          <w:rFonts w:ascii="Trebuchet MS"/>
          <w:color w:val="58585B"/>
        </w:rPr>
        <w:t>expertise</w:t>
      </w:r>
      <w:r>
        <w:rPr>
          <w:rFonts w:ascii="Trebuchet MS"/>
          <w:color w:val="58585B"/>
          <w:spacing w:val="-1"/>
        </w:rPr>
        <w:t> </w:t>
      </w:r>
      <w:r>
        <w:rPr>
          <w:rFonts w:ascii="Trebuchet MS"/>
          <w:color w:val="58585B"/>
        </w:rPr>
        <w:t>in</w:t>
      </w:r>
      <w:r>
        <w:rPr>
          <w:rFonts w:ascii="Trebuchet MS"/>
          <w:color w:val="58585B"/>
          <w:spacing w:val="-1"/>
        </w:rPr>
        <w:t> </w:t>
      </w:r>
      <w:r>
        <w:rPr>
          <w:rFonts w:ascii="Trebuchet MS"/>
          <w:color w:val="58585B"/>
        </w:rPr>
        <w:t>tenant coordination and facilities </w:t>
      </w:r>
      <w:r>
        <w:rPr>
          <w:rFonts w:ascii="Trebuchet MS"/>
          <w:color w:val="58585B"/>
          <w:spacing w:val="-2"/>
        </w:rPr>
        <w:t>management</w:t>
      </w:r>
    </w:p>
    <w:p>
      <w:pPr>
        <w:pStyle w:val="BodyText"/>
        <w:spacing w:line="278" w:lineRule="auto" w:before="109"/>
        <w:ind w:left="114" w:right="293"/>
      </w:pPr>
      <w:r>
        <w:rPr>
          <w:color w:val="58585B"/>
        </w:rPr>
        <w:t>Over 9 years of experience managing office parks and retail centers. Skilled in tenant improvement coordination, lease </w:t>
      </w:r>
      <w:r>
        <w:rPr>
          <w:color w:val="58585B"/>
          <w:spacing w:val="-2"/>
        </w:rPr>
        <w:t>negotiations,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and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capital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planning.</w:t>
      </w:r>
    </w:p>
    <w:p>
      <w:pPr>
        <w:pStyle w:val="BodyText"/>
        <w:rPr>
          <w:sz w:val="20"/>
        </w:rPr>
      </w:pPr>
    </w:p>
    <w:p>
      <w:pPr>
        <w:pStyle w:val="BodyText"/>
        <w:spacing w:before="6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205419</wp:posOffset>
                </wp:positionV>
                <wp:extent cx="2171700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6.174774pt;width:170.999986pt;height:.75pt;mso-position-horizontal-relative:page;mso-position-vertical-relative:paragraph;z-index:-15727616;mso-wrap-distance-left:0;mso-wrap-distance-right:0" id="docshape6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6"/>
      </w:pPr>
      <w:r>
        <w:rPr>
          <w:color w:val="E360CA"/>
          <w:spacing w:val="-5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760" w:space="1052"/>
            <w:col w:w="3888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line="367" w:lineRule="auto"/>
        <w:ind w:left="8298" w:right="10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5181598</wp:posOffset>
                </wp:positionH>
                <wp:positionV relativeFrom="paragraph">
                  <wp:posOffset>64799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.10234pt;width:3.75pt;height:3.75pt;mso-position-horizontal-relative:page;mso-position-vertical-relative:paragraph;z-index:15730176" id="docshape7" coordorigin="8160,102" coordsize="75,75" path="m8203,177l8192,177,8187,176,8160,145,8160,140,8160,134,8192,102,8203,102,8235,134,8235,145,8208,176,8203,177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312449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4.602339pt;width:3.75pt;height:3.75pt;mso-position-horizontal-relative:page;mso-position-vertical-relative:paragraph;z-index:15730688" id="docshape8" coordorigin="8160,492" coordsize="75,75" path="m8203,567l8192,567,8187,566,8160,535,8160,530,8160,524,8192,492,8203,492,8235,524,8235,535,8208,566,8203,567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05"/>
        </w:rPr>
        <w:t>Asset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management </w:t>
      </w:r>
      <w:r>
        <w:rPr>
          <w:color w:val="58585B"/>
          <w:w w:val="105"/>
        </w:rPr>
        <w:t>CAM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reconciliation</w:t>
      </w:r>
    </w:p>
    <w:p>
      <w:pPr>
        <w:pStyle w:val="BodyText"/>
        <w:spacing w:line="367" w:lineRule="auto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63736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.018607pt;width:3.75pt;height:3.75pt;mso-position-horizontal-relative:page;mso-position-vertical-relative:paragraph;z-index:15731200" id="docshape9" coordorigin="8160,100" coordsize="75,75" path="m8203,175l8192,175,8187,174,8160,143,8160,138,8160,133,8192,100,8203,100,8235,133,8235,143,8208,174,8203,175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311386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4.518606pt;width:3.75pt;height:3.75pt;mso-position-horizontal-relative:page;mso-position-vertical-relative:paragraph;z-index:15731712" id="docshape10" coordorigin="8160,490" coordsize="75,75" path="m8203,565l8192,565,8187,564,8160,533,8160,528,8160,523,8192,490,8203,490,8235,523,8235,533,8208,564,8203,565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Commercial</w:t>
      </w:r>
      <w:r>
        <w:rPr>
          <w:color w:val="58585B"/>
          <w:spacing w:val="-8"/>
        </w:rPr>
        <w:t> </w:t>
      </w:r>
      <w:r>
        <w:rPr>
          <w:color w:val="58585B"/>
        </w:rPr>
        <w:t>lease</w:t>
      </w:r>
      <w:r>
        <w:rPr>
          <w:color w:val="58585B"/>
          <w:spacing w:val="-8"/>
        </w:rPr>
        <w:t> </w:t>
      </w:r>
      <w:r>
        <w:rPr>
          <w:color w:val="58585B"/>
        </w:rPr>
        <w:t>negotiation Facility operations</w:t>
      </w:r>
    </w:p>
    <w:p>
      <w:pPr>
        <w:pStyle w:val="BodyText"/>
        <w:spacing w:line="367" w:lineRule="auto"/>
        <w:ind w:left="8298" w:right="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62672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934873pt;width:3.75pt;height:3.75pt;mso-position-horizontal-relative:page;mso-position-vertical-relative:paragraph;z-index:15732224" id="docshape11" coordorigin="8160,99" coordsize="75,75" path="m8203,174l8192,174,8187,173,8160,141,8160,137,8160,131,8192,99,8203,99,8235,131,8235,141,8208,173,8203,17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5181598</wp:posOffset>
                </wp:positionH>
                <wp:positionV relativeFrom="paragraph">
                  <wp:posOffset>310322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4.434872pt;width:3.75pt;height:3.75pt;mso-position-horizontal-relative:page;mso-position-vertical-relative:paragraph;z-index:15732736" id="docshape12" coordorigin="8160,489" coordsize="75,75" path="m8203,564l8192,564,8187,563,8160,531,8160,527,8160,521,8192,489,8203,489,8235,521,8235,531,8208,563,8203,56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5181598</wp:posOffset>
                </wp:positionH>
                <wp:positionV relativeFrom="paragraph">
                  <wp:posOffset>557972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3.934872pt;width:3.75pt;height:3.75pt;mso-position-horizontal-relative:page;mso-position-vertical-relative:paragraph;z-index:15733248" id="docshape13" coordorigin="8160,879" coordsize="75,75" path="m8203,954l8192,954,8187,953,8160,921,8160,917,8160,911,8192,879,8203,879,8235,911,8235,921,8208,953,8203,95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</w:rPr>
        <w:t>Retail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property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oversight </w:t>
      </w:r>
      <w:r>
        <w:rPr>
          <w:color w:val="58585B"/>
        </w:rPr>
        <w:t>Risk management Vendor relations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3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2025-10-16T17:30:24Z</dcterms:created>
  <dcterms:modified xsi:type="dcterms:W3CDTF">2025-10-16T17:30:24Z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