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9"/>
        </w:rPr>
        <w:t>Sam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Wright</w:t>
      </w:r>
    </w:p>
    <w:p>
      <w:pPr>
        <w:pStyle w:val="BodyText"/>
        <w:spacing w:before="133"/>
        <w:ind w:left="1309"/>
        <w:rPr>
          <w:rFonts w:ascii="Calibri"/>
        </w:rPr>
      </w:pPr>
      <w:r>
        <w:rPr>
          <w:rFonts w:ascii="Calibri"/>
          <w:color w:val="FFFFFF"/>
          <w:w w:val="125"/>
        </w:rPr>
        <w:t>Senior</w:t>
      </w:r>
      <w:r>
        <w:rPr>
          <w:rFonts w:ascii="Calibri"/>
          <w:color w:val="FFFFFF"/>
          <w:spacing w:val="-8"/>
          <w:w w:val="125"/>
        </w:rPr>
        <w:t> </w:t>
      </w:r>
      <w:r>
        <w:rPr>
          <w:rFonts w:ascii="Calibri"/>
          <w:color w:val="FFFFFF"/>
          <w:w w:val="125"/>
        </w:rPr>
        <w:t>Real</w:t>
      </w:r>
      <w:r>
        <w:rPr>
          <w:rFonts w:ascii="Calibri"/>
          <w:color w:val="FFFFFF"/>
          <w:spacing w:val="-8"/>
          <w:w w:val="125"/>
        </w:rPr>
        <w:t> </w:t>
      </w:r>
      <w:r>
        <w:rPr>
          <w:rFonts w:ascii="Calibri"/>
          <w:color w:val="FFFFFF"/>
          <w:w w:val="125"/>
        </w:rPr>
        <w:t>Estate</w:t>
      </w:r>
      <w:r>
        <w:rPr>
          <w:rFonts w:ascii="Calibri"/>
          <w:color w:val="FFFFFF"/>
          <w:spacing w:val="-8"/>
          <w:w w:val="125"/>
        </w:rPr>
        <w:t> </w:t>
      </w:r>
      <w:r>
        <w:rPr>
          <w:rFonts w:ascii="Calibri"/>
          <w:color w:val="FFFFFF"/>
          <w:spacing w:val="-2"/>
          <w:w w:val="125"/>
        </w:rPr>
        <w:t>Consultant</w:t>
      </w:r>
    </w:p>
    <w:p>
      <w:pPr>
        <w:pStyle w:val="BodyText"/>
        <w:spacing w:before="81"/>
        <w:ind w:right="98"/>
        <w:jc w:val="right"/>
      </w:pPr>
      <w:r>
        <w:rPr/>
        <w:br w:type="column"/>
      </w: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04"/>
        <w:ind w:right="98"/>
        <w:jc w:val="right"/>
      </w:pPr>
      <w:r>
        <w:rPr>
          <w:color w:val="FFFFFF"/>
          <w:spacing w:val="-2"/>
        </w:rPr>
        <w:t>(555)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777-</w:t>
      </w:r>
      <w:r>
        <w:rPr>
          <w:color w:val="FFFFFF"/>
          <w:spacing w:val="-4"/>
        </w:rPr>
        <w:t>9999</w:t>
      </w:r>
    </w:p>
    <w:p>
      <w:pPr>
        <w:pStyle w:val="BodyText"/>
        <w:spacing w:before="90"/>
        <w:ind w:right="98"/>
        <w:jc w:val="right"/>
      </w:pPr>
      <w:hyperlink r:id="rId5">
        <w:r>
          <w:rPr>
            <w:color w:val="FFFFFF"/>
            <w:spacing w:val="-2"/>
          </w:rPr>
          <w:t>samwright@email.com</w:t>
        </w:r>
      </w:hyperlink>
    </w:p>
    <w:p>
      <w:pPr>
        <w:spacing w:after="0"/>
        <w:jc w:val="right"/>
        <w:sectPr>
          <w:type w:val="continuous"/>
          <w:pgSz w:w="11920" w:h="16860"/>
          <w:pgMar w:top="760" w:bottom="280" w:left="1220" w:right="900"/>
          <w:cols w:num="2" w:equalWidth="0">
            <w:col w:w="4651" w:space="1405"/>
            <w:col w:w="374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1220" w:right="900"/>
        </w:sectPr>
      </w:pPr>
    </w:p>
    <w:p>
      <w:pPr>
        <w:spacing w:line="280" w:lineRule="auto" w:before="104"/>
        <w:ind w:left="118" w:right="1455" w:firstLine="0"/>
        <w:jc w:val="left"/>
        <w:rPr>
          <w:b/>
          <w:sz w:val="22"/>
        </w:rPr>
      </w:pPr>
      <w:r>
        <w:rPr>
          <w:b/>
          <w:w w:val="105"/>
          <w:sz w:val="22"/>
        </w:rPr>
        <w:t>Strategic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Real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Estate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Consultant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broad transactional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</w:p>
    <w:p>
      <w:pPr>
        <w:spacing w:line="278" w:lineRule="auto" w:before="107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Seasoned Real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Estate Professional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with over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12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years in advisory roles, focusing on commercial and mixed-use development.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Offers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expert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insights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into</w:t>
      </w:r>
      <w:r>
        <w:rPr>
          <w:b/>
          <w:spacing w:val="-7"/>
          <w:w w:val="105"/>
          <w:sz w:val="22"/>
        </w:rPr>
        <w:t> </w:t>
      </w:r>
      <w:r>
        <w:rPr>
          <w:b/>
          <w:w w:val="105"/>
          <w:sz w:val="22"/>
        </w:rPr>
        <w:t>property </w:t>
      </w:r>
      <w:r>
        <w:rPr>
          <w:b/>
          <w:sz w:val="22"/>
        </w:rPr>
        <w:t>valuation, zoning issues, and investor strategy. Known for </w:t>
      </w:r>
      <w:r>
        <w:rPr>
          <w:b/>
          <w:w w:val="105"/>
          <w:sz w:val="22"/>
        </w:rPr>
        <w:t>working alongside developers, law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firms, and financial institutions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deliver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profitable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real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estate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outcomes.</w:t>
      </w:r>
    </w:p>
    <w:p>
      <w:pPr>
        <w:pStyle w:val="BodyText"/>
        <w:spacing w:before="146"/>
        <w:rPr>
          <w:b/>
        </w:rPr>
      </w:pPr>
    </w:p>
    <w:p>
      <w:pPr>
        <w:pStyle w:val="Heading1"/>
        <w:spacing w:before="1"/>
      </w:pPr>
      <w:r>
        <w:rPr>
          <w:color w:val="25A6FF"/>
          <w:w w:val="90"/>
        </w:rPr>
        <w:t>Professional</w:t>
      </w:r>
      <w:r>
        <w:rPr>
          <w:color w:val="25A6FF"/>
          <w:spacing w:val="27"/>
        </w:rPr>
        <w:t> </w:t>
      </w:r>
      <w:r>
        <w:rPr>
          <w:color w:val="25A6FF"/>
          <w:spacing w:val="-2"/>
        </w:rPr>
        <w:t>Experience</w:t>
      </w:r>
    </w:p>
    <w:p>
      <w:pPr>
        <w:spacing w:before="214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Senior Real Estate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6"/>
          <w:sz w:val="18"/>
        </w:rPr>
        <w:t>Consultant</w:t>
      </w:r>
    </w:p>
    <w:p>
      <w:pPr>
        <w:pStyle w:val="BodyText"/>
        <w:spacing w:before="104"/>
        <w:ind w:left="118"/>
      </w:pPr>
      <w:r>
        <w:rPr/>
        <w:br w:type="column"/>
      </w:r>
      <w:r>
        <w:rPr>
          <w:spacing w:val="-2"/>
          <w:w w:val="105"/>
        </w:rPr>
        <w:t>LinkedIn</w:t>
      </w:r>
    </w:p>
    <w:p>
      <w:pPr>
        <w:pStyle w:val="BodyText"/>
        <w:spacing w:before="229"/>
      </w:pPr>
    </w:p>
    <w:p>
      <w:pPr>
        <w:pStyle w:val="Heading1"/>
      </w:pPr>
      <w:r>
        <w:rPr>
          <w:color w:val="25A6FF"/>
          <w:spacing w:val="-15"/>
        </w:rPr>
        <w:t>Key</w:t>
      </w:r>
      <w:r>
        <w:rPr>
          <w:color w:val="25A6FF"/>
          <w:spacing w:val="-11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234"/>
        <w:ind w:left="118"/>
      </w:pPr>
      <w:r>
        <w:rPr/>
        <w:t>Application</w:t>
      </w:r>
      <w:r>
        <w:rPr>
          <w:spacing w:val="26"/>
        </w:rPr>
        <w:t> </w:t>
      </w:r>
      <w:r>
        <w:rPr>
          <w:spacing w:val="-2"/>
        </w:rPr>
        <w:t>processing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spacing w:line="280" w:lineRule="auto"/>
        <w:ind w:left="118"/>
      </w:pPr>
      <w:r>
        <w:rPr>
          <w:w w:val="105"/>
        </w:rPr>
        <w:t>CRM systems (AppFolio, </w:t>
      </w:r>
      <w:r>
        <w:rPr>
          <w:spacing w:val="-2"/>
          <w:w w:val="105"/>
        </w:rPr>
        <w:t>Yardi)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spacing w:before="1"/>
        <w:ind w:left="118"/>
      </w:pPr>
      <w:r>
        <w:rPr>
          <w:spacing w:val="-2"/>
          <w:w w:val="105"/>
        </w:rPr>
        <w:t>Fair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housing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compliance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2" w:equalWidth="0">
            <w:col w:w="6229" w:space="560"/>
            <w:col w:w="3011"/>
          </w:cols>
        </w:sectPr>
      </w:pPr>
    </w:p>
    <w:p>
      <w:pPr>
        <w:spacing w:line="280" w:lineRule="auto" w:before="101"/>
        <w:ind w:left="118" w:right="38" w:firstLine="0"/>
        <w:jc w:val="left"/>
        <w:rPr>
          <w:i/>
          <w:sz w:val="22"/>
        </w:rPr>
      </w:pPr>
      <w:r>
        <w:rPr>
          <w:i/>
          <w:sz w:val="22"/>
        </w:rPr>
        <w:t>UrbanEdge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Advisory, Chicago,</w:t>
      </w:r>
      <w:r>
        <w:rPr>
          <w:i/>
          <w:sz w:val="22"/>
        </w:rPr>
        <w:t> </w:t>
      </w:r>
      <w:r>
        <w:rPr>
          <w:i/>
          <w:spacing w:val="-6"/>
          <w:sz w:val="22"/>
        </w:rPr>
        <w:t>IL</w:t>
      </w:r>
    </w:p>
    <w:p>
      <w:pPr>
        <w:spacing w:before="101"/>
        <w:ind w:left="118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z w:val="22"/>
        </w:rPr>
        <w:t>May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spacing w:line="240" w:lineRule="auto" w:before="205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ind w:left="118"/>
      </w:pPr>
      <w:r>
        <w:rPr>
          <w:w w:val="105"/>
        </w:rPr>
        <w:t>Lease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negotiation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3" w:equalWidth="0">
            <w:col w:w="3153" w:space="1060"/>
            <w:col w:w="2047" w:space="529"/>
            <w:col w:w="3011"/>
          </w:cols>
        </w:sectPr>
      </w:pPr>
    </w:p>
    <w:p>
      <w:pPr>
        <w:pStyle w:val="BodyText"/>
        <w:spacing w:line="280" w:lineRule="auto" w:before="90"/>
        <w:ind w:left="490"/>
      </w:pPr>
      <w:r>
        <w:rPr>
          <w:w w:val="105"/>
        </w:rPr>
        <w:t>Led</w:t>
      </w:r>
      <w:r>
        <w:rPr>
          <w:spacing w:val="-1"/>
          <w:w w:val="105"/>
        </w:rPr>
        <w:t> </w:t>
      </w:r>
      <w:r>
        <w:rPr>
          <w:w w:val="105"/>
        </w:rPr>
        <w:t>property</w:t>
      </w:r>
      <w:r>
        <w:rPr>
          <w:spacing w:val="-8"/>
          <w:w w:val="105"/>
        </w:rPr>
        <w:t> </w:t>
      </w:r>
      <w:r>
        <w:rPr>
          <w:w w:val="105"/>
        </w:rPr>
        <w:t>acquisition</w:t>
      </w:r>
      <w:r>
        <w:rPr>
          <w:spacing w:val="-1"/>
          <w:w w:val="105"/>
        </w:rPr>
        <w:t> </w:t>
      </w:r>
      <w:r>
        <w:rPr>
          <w:w w:val="105"/>
        </w:rPr>
        <w:t>plans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$50M</w:t>
      </w:r>
      <w:r>
        <w:rPr>
          <w:spacing w:val="-1"/>
          <w:w w:val="105"/>
        </w:rPr>
        <w:t> </w:t>
      </w:r>
      <w:r>
        <w:rPr>
          <w:w w:val="105"/>
        </w:rPr>
        <w:t>mixed-use developments in downtown Chicago</w:t>
      </w:r>
    </w:p>
    <w:p>
      <w:pPr>
        <w:pStyle w:val="BodyText"/>
        <w:spacing w:line="280" w:lineRule="auto" w:before="92"/>
        <w:ind w:left="490"/>
      </w:pPr>
      <w:r>
        <w:rPr>
          <w:w w:val="105"/>
        </w:rPr>
        <w:t>Advised</w:t>
      </w:r>
      <w:r>
        <w:rPr>
          <w:spacing w:val="-9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w w:val="105"/>
        </w:rPr>
        <w:t>commercial</w:t>
      </w:r>
      <w:r>
        <w:rPr>
          <w:spacing w:val="-17"/>
          <w:w w:val="105"/>
        </w:rPr>
        <w:t> </w:t>
      </w:r>
      <w:r>
        <w:rPr>
          <w:w w:val="105"/>
        </w:rPr>
        <w:t>lease</w:t>
      </w:r>
      <w:r>
        <w:rPr>
          <w:spacing w:val="-9"/>
          <w:w w:val="105"/>
        </w:rPr>
        <w:t> </w:t>
      </w:r>
      <w:r>
        <w:rPr>
          <w:w w:val="105"/>
        </w:rPr>
        <w:t>restructuring</w:t>
      </w:r>
      <w:r>
        <w:rPr>
          <w:spacing w:val="-9"/>
          <w:w w:val="105"/>
        </w:rPr>
        <w:t> </w:t>
      </w:r>
      <w:r>
        <w:rPr>
          <w:w w:val="105"/>
        </w:rPr>
        <w:t>strategies that improved NOI by 22%</w:t>
      </w:r>
    </w:p>
    <w:p>
      <w:pPr>
        <w:pStyle w:val="BodyText"/>
        <w:spacing w:line="280" w:lineRule="auto" w:before="92"/>
        <w:ind w:left="490"/>
      </w:pPr>
      <w:r>
        <w:rPr>
          <w:w w:val="105"/>
        </w:rPr>
        <w:t>Provided</w:t>
      </w:r>
      <w:r>
        <w:rPr>
          <w:spacing w:val="-9"/>
          <w:w w:val="105"/>
        </w:rPr>
        <w:t> </w:t>
      </w:r>
      <w:r>
        <w:rPr>
          <w:w w:val="105"/>
        </w:rPr>
        <w:t>market</w:t>
      </w:r>
      <w:r>
        <w:rPr>
          <w:spacing w:val="-9"/>
          <w:w w:val="105"/>
        </w:rPr>
        <w:t> </w:t>
      </w:r>
      <w:r>
        <w:rPr>
          <w:w w:val="105"/>
        </w:rPr>
        <w:t>analyses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hedge</w:t>
      </w:r>
      <w:r>
        <w:rPr>
          <w:spacing w:val="-9"/>
          <w:w w:val="105"/>
        </w:rPr>
        <w:t> </w:t>
      </w:r>
      <w:r>
        <w:rPr>
          <w:w w:val="105"/>
        </w:rPr>
        <w:t>fund</w:t>
      </w:r>
      <w:r>
        <w:rPr>
          <w:spacing w:val="-9"/>
          <w:w w:val="105"/>
        </w:rPr>
        <w:t> </w:t>
      </w:r>
      <w:r>
        <w:rPr>
          <w:w w:val="105"/>
        </w:rPr>
        <w:t>property </w:t>
      </w:r>
      <w:r>
        <w:rPr>
          <w:spacing w:val="-2"/>
          <w:w w:val="105"/>
        </w:rPr>
        <w:t>investments</w:t>
      </w:r>
    </w:p>
    <w:p>
      <w:pPr>
        <w:spacing w:before="208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Real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6"/>
          <w:sz w:val="18"/>
        </w:rPr>
        <w:t>Estate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6"/>
          <w:sz w:val="18"/>
        </w:rPr>
        <w:t>Analyst</w:t>
      </w:r>
    </w:p>
    <w:p>
      <w:pPr>
        <w:tabs>
          <w:tab w:pos="4157" w:val="left" w:leader="none"/>
        </w:tabs>
        <w:spacing w:before="116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Legacy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Group, Chicago, </w:t>
      </w:r>
      <w:r>
        <w:rPr>
          <w:i/>
          <w:spacing w:val="-5"/>
          <w:sz w:val="22"/>
        </w:rPr>
        <w:t>IL</w:t>
      </w:r>
      <w:r>
        <w:rPr>
          <w:i/>
          <w:sz w:val="22"/>
        </w:rPr>
        <w:tab/>
      </w:r>
      <w:r>
        <w:rPr>
          <w:i/>
          <w:spacing w:val="-6"/>
          <w:sz w:val="22"/>
        </w:rPr>
        <w:t>July</w:t>
      </w:r>
      <w:r>
        <w:rPr>
          <w:i/>
          <w:spacing w:val="-9"/>
          <w:sz w:val="22"/>
        </w:rPr>
        <w:t> </w:t>
      </w:r>
      <w:r>
        <w:rPr>
          <w:i/>
          <w:spacing w:val="-6"/>
          <w:sz w:val="22"/>
        </w:rPr>
        <w:t>2013</w:t>
      </w:r>
      <w:r>
        <w:rPr>
          <w:i/>
          <w:spacing w:val="-4"/>
          <w:sz w:val="22"/>
        </w:rPr>
        <w:t> </w:t>
      </w:r>
      <w:r>
        <w:rPr>
          <w:i/>
          <w:spacing w:val="-6"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April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2018</w:t>
      </w:r>
    </w:p>
    <w:p>
      <w:pPr>
        <w:pStyle w:val="BodyText"/>
        <w:spacing w:line="280" w:lineRule="auto" w:before="149"/>
        <w:ind w:left="490" w:right="34"/>
      </w:pPr>
      <w:r>
        <w:rPr>
          <w:w w:val="105"/>
        </w:rPr>
        <w:t>Performed</w:t>
      </w:r>
      <w:r>
        <w:rPr>
          <w:spacing w:val="-4"/>
          <w:w w:val="105"/>
        </w:rPr>
        <w:t> </w:t>
      </w:r>
      <w:r>
        <w:rPr>
          <w:w w:val="105"/>
        </w:rPr>
        <w:t>due</w:t>
      </w:r>
      <w:r>
        <w:rPr>
          <w:spacing w:val="-4"/>
          <w:w w:val="105"/>
        </w:rPr>
        <w:t> </w:t>
      </w:r>
      <w:r>
        <w:rPr>
          <w:w w:val="105"/>
        </w:rPr>
        <w:t>diligence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ROI</w:t>
      </w:r>
      <w:r>
        <w:rPr>
          <w:spacing w:val="-4"/>
          <w:w w:val="105"/>
        </w:rPr>
        <w:t> </w:t>
      </w:r>
      <w:r>
        <w:rPr>
          <w:w w:val="105"/>
        </w:rPr>
        <w:t>modeling</w:t>
      </w:r>
      <w:r>
        <w:rPr>
          <w:spacing w:val="-4"/>
          <w:w w:val="105"/>
        </w:rPr>
        <w:t> </w:t>
      </w:r>
      <w:r>
        <w:rPr>
          <w:w w:val="105"/>
        </w:rPr>
        <w:t>for industrial</w:t>
      </w:r>
      <w:r>
        <w:rPr>
          <w:spacing w:val="-12"/>
          <w:w w:val="105"/>
        </w:rPr>
        <w:t> </w:t>
      </w:r>
      <w:r>
        <w:rPr>
          <w:w w:val="105"/>
        </w:rPr>
        <w:t>properties</w:t>
      </w:r>
    </w:p>
    <w:p>
      <w:pPr>
        <w:pStyle w:val="BodyText"/>
        <w:spacing w:line="268" w:lineRule="auto" w:before="93"/>
        <w:ind w:left="490"/>
      </w:pPr>
      <w:r>
        <w:rPr>
          <w:w w:val="105"/>
        </w:rPr>
        <w:t>Supported</w:t>
      </w:r>
      <w:r>
        <w:rPr>
          <w:spacing w:val="-9"/>
          <w:w w:val="105"/>
        </w:rPr>
        <w:t> </w:t>
      </w:r>
      <w:r>
        <w:rPr>
          <w:w w:val="105"/>
        </w:rPr>
        <w:t>senior</w:t>
      </w:r>
      <w:r>
        <w:rPr>
          <w:spacing w:val="-15"/>
          <w:w w:val="105"/>
        </w:rPr>
        <w:t> </w:t>
      </w:r>
      <w:r>
        <w:rPr>
          <w:w w:val="105"/>
        </w:rPr>
        <w:t>consultants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zoning</w:t>
      </w:r>
      <w:r>
        <w:rPr>
          <w:spacing w:val="-9"/>
          <w:w w:val="105"/>
        </w:rPr>
        <w:t> </w:t>
      </w:r>
      <w:r>
        <w:rPr>
          <w:w w:val="105"/>
        </w:rPr>
        <w:t>review</w:t>
      </w:r>
      <w:r>
        <w:rPr>
          <w:spacing w:val="-16"/>
          <w:w w:val="105"/>
        </w:rPr>
        <w:t> </w:t>
      </w:r>
      <w:r>
        <w:rPr>
          <w:w w:val="105"/>
        </w:rPr>
        <w:t>and building repurposing plans</w:t>
      </w:r>
    </w:p>
    <w:p>
      <w:pPr>
        <w:pStyle w:val="BodyText"/>
        <w:spacing w:line="280" w:lineRule="auto" w:before="102"/>
        <w:ind w:left="490"/>
      </w:pPr>
      <w:r>
        <w:rPr>
          <w:spacing w:val="-2"/>
          <w:w w:val="105"/>
        </w:rPr>
        <w:t>Collaborated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feasibility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studies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cost-benefit analyses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59"/>
      </w:pPr>
    </w:p>
    <w:p>
      <w:pPr>
        <w:pStyle w:val="BodyText"/>
        <w:ind w:left="118"/>
      </w:pPr>
      <w:r>
        <w:rPr>
          <w:w w:val="105"/>
        </w:rPr>
        <w:t>Lead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BodyText"/>
        <w:ind w:left="118"/>
      </w:pPr>
      <w:r>
        <w:rPr/>
        <w:t>Property</w:t>
      </w:r>
      <w:r>
        <w:rPr>
          <w:spacing w:val="13"/>
        </w:rPr>
        <w:t> </w:t>
      </w:r>
      <w:r>
        <w:rPr>
          <w:spacing w:val="-2"/>
        </w:rPr>
        <w:t>tours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8"/>
      </w:pPr>
      <w:r>
        <w:rPr/>
        <w:t>Rent</w:t>
      </w:r>
      <w:r>
        <w:rPr>
          <w:spacing w:val="12"/>
        </w:rPr>
        <w:t> </w:t>
      </w:r>
      <w:r>
        <w:rPr/>
        <w:t>collection</w:t>
      </w:r>
      <w:r>
        <w:rPr>
          <w:spacing w:val="13"/>
        </w:rPr>
        <w:t> </w:t>
      </w:r>
      <w:r>
        <w:rPr>
          <w:spacing w:val="-2"/>
        </w:rPr>
        <w:t>procedures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8"/>
      </w:pPr>
      <w:r>
        <w:rPr/>
        <w:t>Tenant</w:t>
      </w:r>
      <w:r>
        <w:rPr>
          <w:spacing w:val="-11"/>
        </w:rPr>
        <w:t> </w:t>
      </w:r>
      <w:r>
        <w:rPr>
          <w:spacing w:val="-2"/>
        </w:rPr>
        <w:t>retention</w:t>
      </w:r>
    </w:p>
    <w:p>
      <w:pPr>
        <w:spacing w:after="0"/>
        <w:sectPr>
          <w:type w:val="continuous"/>
          <w:pgSz w:w="11920" w:h="16860"/>
          <w:pgMar w:top="760" w:bottom="280" w:left="1220" w:right="900"/>
          <w:cols w:num="2" w:equalWidth="0">
            <w:col w:w="6260" w:space="529"/>
            <w:col w:w="3011"/>
          </w:cols>
        </w:sectPr>
      </w:pPr>
    </w:p>
    <w:p>
      <w:pPr>
        <w:pStyle w:val="BodyText"/>
        <w:spacing w:before="96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878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82050">
                                <a:moveTo>
                                  <a:pt x="2600324" y="8782049"/>
                                </a:moveTo>
                                <a:lnTo>
                                  <a:pt x="0" y="878204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8782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95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8003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5194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5242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40433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4048124"/>
                            <a:ext cx="1428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14300">
                                <a:moveTo>
                                  <a:pt x="14287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5767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5815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51101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51149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6435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56483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61674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172074" y="6172199"/>
                            <a:ext cx="7143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114300">
                                <a:moveTo>
                                  <a:pt x="7143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167312" y="67008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66762" y="4600574"/>
                            <a:ext cx="4657725" cy="277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7725" h="2771775">
                                <a:moveTo>
                                  <a:pt x="38100" y="2740672"/>
                                </a:moveTo>
                                <a:lnTo>
                                  <a:pt x="21577" y="2724150"/>
                                </a:lnTo>
                                <a:lnTo>
                                  <a:pt x="16535" y="2724150"/>
                                </a:lnTo>
                                <a:lnTo>
                                  <a:pt x="0" y="2740672"/>
                                </a:lnTo>
                                <a:lnTo>
                                  <a:pt x="0" y="2752725"/>
                                </a:lnTo>
                                <a:lnTo>
                                  <a:pt x="0" y="2755252"/>
                                </a:lnTo>
                                <a:lnTo>
                                  <a:pt x="16535" y="2771775"/>
                                </a:lnTo>
                                <a:lnTo>
                                  <a:pt x="21577" y="2771775"/>
                                </a:lnTo>
                                <a:lnTo>
                                  <a:pt x="38100" y="2755252"/>
                                </a:lnTo>
                                <a:lnTo>
                                  <a:pt x="38100" y="2740672"/>
                                </a:lnTo>
                                <a:close/>
                              </a:path>
                              <a:path w="4657725" h="2771775">
                                <a:moveTo>
                                  <a:pt x="38100" y="2302535"/>
                                </a:moveTo>
                                <a:lnTo>
                                  <a:pt x="21577" y="2286000"/>
                                </a:lnTo>
                                <a:lnTo>
                                  <a:pt x="16535" y="2286000"/>
                                </a:lnTo>
                                <a:lnTo>
                                  <a:pt x="0" y="2302535"/>
                                </a:lnTo>
                                <a:lnTo>
                                  <a:pt x="0" y="2314575"/>
                                </a:lnTo>
                                <a:lnTo>
                                  <a:pt x="0" y="2317102"/>
                                </a:lnTo>
                                <a:lnTo>
                                  <a:pt x="16535" y="2333625"/>
                                </a:lnTo>
                                <a:lnTo>
                                  <a:pt x="21577" y="2333625"/>
                                </a:lnTo>
                                <a:lnTo>
                                  <a:pt x="38100" y="2317102"/>
                                </a:lnTo>
                                <a:lnTo>
                                  <a:pt x="38100" y="2302535"/>
                                </a:lnTo>
                                <a:close/>
                              </a:path>
                              <a:path w="4657725" h="2771775">
                                <a:moveTo>
                                  <a:pt x="38100" y="1864385"/>
                                </a:moveTo>
                                <a:lnTo>
                                  <a:pt x="21577" y="1847850"/>
                                </a:lnTo>
                                <a:lnTo>
                                  <a:pt x="16535" y="1847850"/>
                                </a:lnTo>
                                <a:lnTo>
                                  <a:pt x="0" y="1864385"/>
                                </a:lnTo>
                                <a:lnTo>
                                  <a:pt x="0" y="1876425"/>
                                </a:lnTo>
                                <a:lnTo>
                                  <a:pt x="0" y="1878952"/>
                                </a:lnTo>
                                <a:lnTo>
                                  <a:pt x="16535" y="1895475"/>
                                </a:lnTo>
                                <a:lnTo>
                                  <a:pt x="21577" y="1895475"/>
                                </a:lnTo>
                                <a:lnTo>
                                  <a:pt x="38100" y="1878952"/>
                                </a:lnTo>
                                <a:lnTo>
                                  <a:pt x="38100" y="1864385"/>
                                </a:lnTo>
                                <a:close/>
                              </a:path>
                              <a:path w="4657725" h="2771775">
                                <a:moveTo>
                                  <a:pt x="38100" y="883310"/>
                                </a:moveTo>
                                <a:lnTo>
                                  <a:pt x="21577" y="866775"/>
                                </a:lnTo>
                                <a:lnTo>
                                  <a:pt x="16535" y="866775"/>
                                </a:lnTo>
                                <a:lnTo>
                                  <a:pt x="0" y="883310"/>
                                </a:lnTo>
                                <a:lnTo>
                                  <a:pt x="0" y="895350"/>
                                </a:lnTo>
                                <a:lnTo>
                                  <a:pt x="0" y="897877"/>
                                </a:lnTo>
                                <a:lnTo>
                                  <a:pt x="16535" y="914400"/>
                                </a:lnTo>
                                <a:lnTo>
                                  <a:pt x="21577" y="914400"/>
                                </a:lnTo>
                                <a:lnTo>
                                  <a:pt x="38100" y="897877"/>
                                </a:lnTo>
                                <a:lnTo>
                                  <a:pt x="38100" y="883310"/>
                                </a:lnTo>
                                <a:close/>
                              </a:path>
                              <a:path w="4657725" h="2771775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59727"/>
                                </a:lnTo>
                                <a:lnTo>
                                  <a:pt x="16535" y="476250"/>
                                </a:lnTo>
                                <a:lnTo>
                                  <a:pt x="21577" y="476250"/>
                                </a:lnTo>
                                <a:lnTo>
                                  <a:pt x="38100" y="459727"/>
                                </a:lnTo>
                                <a:lnTo>
                                  <a:pt x="38100" y="457200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4657725" h="277177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4657725" h="2771775">
                                <a:moveTo>
                                  <a:pt x="4657725" y="2105025"/>
                                </a:moveTo>
                                <a:lnTo>
                                  <a:pt x="4305300" y="2105025"/>
                                </a:lnTo>
                                <a:lnTo>
                                  <a:pt x="4305300" y="2209800"/>
                                </a:lnTo>
                                <a:lnTo>
                                  <a:pt x="4657725" y="2209800"/>
                                </a:lnTo>
                                <a:lnTo>
                                  <a:pt x="4657725" y="210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520" id="docshapegroup1" coordorigin="0,0" coordsize="11919,16858">
                <v:rect style="position:absolute;left:0;top:0;width:11919;height:525" id="docshape2" filled="true" fillcolor="#25a6ff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25a6ff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3830" id="docshape6" filled="true" fillcolor="#f5f5f5" stroked="false">
                  <v:fill type="solid"/>
                </v:rect>
                <v:rect style="position:absolute;left:8137;top:4402;width:2835;height:165" id="docshape7" filled="false" stroked="true" strokeweight=".75pt" strokecolor="#25a6ff">
                  <v:stroke dashstyle="solid"/>
                </v:rect>
                <v:rect style="position:absolute;left:8145;top:4410;width:2820;height:165" id="docshape8" filled="true" fillcolor="#25a6ff" stroked="false">
                  <v:fill type="solid"/>
                </v:rect>
                <v:rect style="position:absolute;left:8137;top:5542;width:2835;height:165" id="docshape9" filled="false" stroked="true" strokeweight=".75pt" strokecolor="#25a6ff">
                  <v:stroke dashstyle="solid"/>
                </v:rect>
                <v:rect style="position:absolute;left:8145;top:5550;width:2250;height:165" id="docshape10" filled="true" fillcolor="#25a6ff" stroked="false">
                  <v:fill type="solid"/>
                </v:rect>
                <v:rect style="position:absolute;left:8137;top:6367;width:2835;height:180" id="docshape11" filled="false" stroked="true" strokeweight=".75pt" strokecolor="#25a6ff">
                  <v:stroke dashstyle="solid"/>
                </v:rect>
                <v:rect style="position:absolute;left:8145;top:6375;width:2250;height:180" id="docshape12" filled="true" fillcolor="#25a6ff" stroked="false">
                  <v:fill type="solid"/>
                </v:rect>
                <v:rect style="position:absolute;left:8137;top:7207;width:2835;height:180" id="docshape13" filled="false" stroked="true" strokeweight=".75pt" strokecolor="#25a6ff">
                  <v:stroke dashstyle="solid"/>
                </v:rect>
                <v:rect style="position:absolute;left:8145;top:7215;width:1695;height:165" id="docshape14" filled="true" fillcolor="#25a6ff" stroked="false">
                  <v:fill type="solid"/>
                </v:rect>
                <v:rect style="position:absolute;left:8137;top:8047;width:2835;height:165" id="docshape15" filled="false" stroked="true" strokeweight=".75pt" strokecolor="#25a6ff">
                  <v:stroke dashstyle="solid"/>
                </v:rect>
                <v:rect style="position:absolute;left:8145;top:8055;width:1695;height:165" id="docshape16" filled="true" fillcolor="#25a6ff" stroked="false">
                  <v:fill type="solid"/>
                </v:rect>
                <v:rect style="position:absolute;left:8137;top:8887;width:2835;height:165" id="docshape17" filled="false" stroked="true" strokeweight=".75pt" strokecolor="#25a6ff">
                  <v:stroke dashstyle="solid"/>
                </v:rect>
                <v:rect style="position:absolute;left:8145;top:8895;width:1695;height:165" id="docshape18" filled="true" fillcolor="#25a6ff" stroked="false">
                  <v:fill type="solid"/>
                </v:rect>
                <v:rect style="position:absolute;left:8137;top:9712;width:2835;height:180" id="docshape19" filled="false" stroked="true" strokeweight=".75pt" strokecolor="#25a6ff">
                  <v:stroke dashstyle="solid"/>
                </v:rect>
                <v:rect style="position:absolute;left:8145;top:9720;width:1125;height:180" id="docshape20" filled="true" fillcolor="#25a6ff" stroked="false">
                  <v:fill type="solid"/>
                </v:rect>
                <v:rect style="position:absolute;left:8137;top:10552;width:2835;height:180" id="docshape21" filled="false" stroked="true" strokeweight=".75pt" strokecolor="#25a6ff">
                  <v:stroke dashstyle="solid"/>
                </v:rect>
                <v:shape style="position:absolute;left:1364;top:7245;width:7335;height:4365" id="docshape22" coordorigin="1365,7245" coordsize="7335,4365" path="m1425,11561l1424,11557,1421,11550,1419,11547,1413,11541,1410,11539,1403,11536,1399,11535,1391,11535,1387,11536,1380,11539,1377,11541,1371,11547,1369,11550,1366,11557,1365,11561,1365,11580,1365,11584,1366,11588,1369,11595,1371,11598,1377,11604,1380,11606,1387,11609,1391,11610,1399,11610,1403,11609,1410,11606,1413,11604,1419,11598,1421,11595,1424,11588,1425,11584,1425,11561xm1425,10871l1424,10867,1421,10860,1419,10857,1413,10851,1410,10849,1403,10846,1399,10845,1391,10845,1387,10846,1380,10849,1377,10851,1371,10857,1369,10860,1366,10867,1365,10871,1365,10890,1365,10894,1366,10898,1369,10905,1371,10908,1377,10914,1380,10916,1387,10919,1391,10920,1399,10920,1403,10919,1410,10916,1413,10914,1419,10908,1421,10905,1424,10898,1425,10894,1425,10871xm1425,10181l1424,10177,1421,10170,1419,10167,1413,10161,1410,10159,1403,10156,1399,10155,1391,10155,1387,10156,1380,10159,1377,10161,1371,10167,1369,10170,1366,10177,1365,10181,1365,10200,1365,10204,1366,10208,1369,10215,1371,10218,1377,10224,1380,10226,1387,10229,1391,10230,1399,10230,1403,10229,1410,10226,1413,10224,1419,10218,1421,10215,1424,10208,1425,10204,1425,10181xm1425,8636l1424,8632,1421,8625,1419,8622,1413,8616,1410,8614,1403,8611,1399,8610,1391,8610,1387,8611,1380,8614,1377,8616,1371,8622,1369,8625,1366,8632,1365,8636,1365,8655,1365,8659,1366,8663,1369,8670,1371,8673,1377,8679,1380,8681,1387,8684,1391,8685,1399,8685,1403,8684,1410,8681,1413,8679,1419,8673,1421,8670,1424,8663,1425,8659,1425,8636xm1425,7961l1424,7957,1421,7950,1419,7947,1413,7941,1410,7939,1403,7936,1399,7935,1391,7935,1387,7936,1380,7939,1377,7941,1371,7947,1369,7950,1366,7957,1365,7961,1365,7969,1366,7973,1369,7980,1371,7983,1377,7989,1380,7991,1387,7994,1391,7995,1399,7995,1403,7994,1410,7991,1413,7989,1419,7983,1421,7980,1424,7973,1425,7969,1425,7965,1425,7961xm1425,7271l1424,7267,1421,7260,1419,7257,1413,7251,1410,7249,1403,7246,1399,7245,1391,7245,1387,7246,1380,7249,1377,7251,1371,7257,1369,7260,1366,7267,1365,7271,1365,7290,1365,7294,1366,7298,1369,7305,1371,7308,1377,7314,1380,7316,1387,7319,1391,7320,1399,7320,1403,7319,1410,7316,1413,7314,1419,7308,1421,7305,1424,7298,1425,7294,1425,7271xm8700,10560l8145,10560,8145,10725,8700,10725,8700,10560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25A6FF"/>
          <w:spacing w:val="-2"/>
        </w:rPr>
        <w:t>Education</w:t>
      </w:r>
    </w:p>
    <w:p>
      <w:pPr>
        <w:tabs>
          <w:tab w:pos="5267" w:val="left" w:leader="none"/>
        </w:tabs>
        <w:spacing w:line="338" w:lineRule="auto" w:before="219"/>
        <w:ind w:left="118" w:right="3576" w:firstLine="0"/>
        <w:jc w:val="left"/>
        <w:rPr>
          <w:sz w:val="22"/>
        </w:rPr>
      </w:pPr>
      <w:r>
        <w:rPr>
          <w:rFonts w:ascii="Verdana"/>
          <w:b/>
          <w:sz w:val="18"/>
        </w:rPr>
        <w:t>Bachelor of Science in Finance</w:t>
        <w:tab/>
      </w:r>
      <w:r>
        <w:rPr>
          <w:sz w:val="22"/>
        </w:rPr>
        <w:t>May</w:t>
      </w:r>
      <w:r>
        <w:rPr>
          <w:spacing w:val="-6"/>
          <w:sz w:val="22"/>
        </w:rPr>
        <w:t> </w:t>
      </w:r>
      <w:r>
        <w:rPr>
          <w:sz w:val="22"/>
        </w:rPr>
        <w:t>2013 University of Illinois Urbana-Champaign</w:t>
      </w:r>
    </w:p>
    <w:p>
      <w:pPr>
        <w:pStyle w:val="BodyText"/>
        <w:spacing w:before="242"/>
        <w:rPr>
          <w:sz w:val="26"/>
        </w:rPr>
      </w:pPr>
    </w:p>
    <w:p>
      <w:pPr>
        <w:pStyle w:val="Heading1"/>
        <w:spacing w:before="1"/>
      </w:pPr>
      <w:r>
        <w:rPr>
          <w:color w:val="25A6FF"/>
          <w:spacing w:val="-2"/>
        </w:rPr>
        <w:t>Certifications</w:t>
      </w:r>
    </w:p>
    <w:p>
      <w:pPr>
        <w:spacing w:line="280" w:lineRule="auto" w:before="218"/>
        <w:ind w:left="118" w:right="3741" w:firstLine="0"/>
        <w:jc w:val="left"/>
        <w:rPr>
          <w:sz w:val="22"/>
        </w:rPr>
      </w:pPr>
      <w:r>
        <w:rPr>
          <w:b/>
          <w:sz w:val="22"/>
        </w:rPr>
        <w:t>Certified Apartment Leasing Professional (CALP) </w:t>
      </w:r>
      <w:r>
        <w:rPr>
          <w:w w:val="85"/>
          <w:sz w:val="22"/>
        </w:rPr>
        <w:t>| </w:t>
      </w:r>
      <w:r>
        <w:rPr>
          <w:sz w:val="22"/>
        </w:rPr>
        <w:t>National Apartment Association </w:t>
      </w:r>
      <w:r>
        <w:rPr>
          <w:w w:val="85"/>
          <w:sz w:val="22"/>
        </w:rPr>
        <w:t>| </w:t>
      </w:r>
      <w:r>
        <w:rPr>
          <w:sz w:val="22"/>
        </w:rPr>
        <w:t>August 2020</w:t>
      </w:r>
    </w:p>
    <w:sectPr>
      <w:type w:val="continuous"/>
      <w:pgSz w:w="11920" w:h="16860"/>
      <w:pgMar w:top="760" w:bottom="280" w:left="12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0"/>
      <w:ind w:left="1309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wright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2025-10-03T15:32:39Z</dcterms:created>
  <dcterms:modified xsi:type="dcterms:W3CDTF">2025-10-03T15:32:39Z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