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8"/>
        </w:rPr>
        <w:t>Logan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Hall</w:t>
      </w:r>
    </w:p>
    <w:p>
      <w:pPr>
        <w:spacing w:before="149"/>
        <w:ind w:left="130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College</w:t>
      </w:r>
      <w:r>
        <w:rPr>
          <w:rFonts w:ascii="Microsoft Sans Serif"/>
          <w:color w:val="FFFFFF"/>
          <w:spacing w:val="13"/>
          <w:sz w:val="29"/>
        </w:rPr>
        <w:t> </w:t>
      </w:r>
      <w:r>
        <w:rPr>
          <w:rFonts w:ascii="Microsoft Sans Serif"/>
          <w:color w:val="FFFFFF"/>
          <w:sz w:val="29"/>
        </w:rPr>
        <w:t>Admissions</w:t>
      </w:r>
      <w:r>
        <w:rPr>
          <w:rFonts w:ascii="Microsoft Sans Serif"/>
          <w:color w:val="FFFFFF"/>
          <w:spacing w:val="13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Counselor</w:t>
      </w:r>
    </w:p>
    <w:p>
      <w:pPr>
        <w:pStyle w:val="BodyText"/>
        <w:spacing w:before="83"/>
        <w:ind w:right="98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91"/>
        <w:ind w:right="98"/>
        <w:jc w:val="right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77"/>
        <w:ind w:right="98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740" w:bottom="280" w:left="1220" w:right="900"/>
          <w:cols w:num="2" w:equalWidth="0">
            <w:col w:w="5396" w:space="632"/>
            <w:col w:w="377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spacing w:line="264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College admissions counselor with six years of experience evaluating applications, conducting interviews, and guiding high school students through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admissions.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Adept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at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planning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recruitment events and managing outreach programs.</w:t>
      </w:r>
    </w:p>
    <w:p>
      <w:pPr>
        <w:pStyle w:val="BodyText"/>
        <w:spacing w:before="169"/>
        <w:rPr>
          <w:b/>
        </w:rPr>
      </w:pPr>
    </w:p>
    <w:p>
      <w:pPr>
        <w:pStyle w:val="Heading1"/>
      </w:pP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2"/>
        <w:spacing w:line="170" w:lineRule="exact"/>
        <w:rPr>
          <w:rFonts w:ascii="Arial"/>
        </w:rPr>
      </w:pPr>
      <w:r>
        <w:rPr>
          <w:rFonts w:ascii="Arial"/>
          <w:spacing w:val="-4"/>
        </w:rPr>
        <w:t>College</w:t>
      </w:r>
      <w:r>
        <w:rPr>
          <w:rFonts w:ascii="Arial"/>
          <w:spacing w:val="2"/>
        </w:rPr>
        <w:t> </w:t>
      </w:r>
      <w:r>
        <w:rPr>
          <w:rFonts w:ascii="Arial"/>
          <w:spacing w:val="-4"/>
        </w:rPr>
        <w:t>Admissions</w:t>
      </w:r>
      <w:r>
        <w:rPr>
          <w:rFonts w:ascii="Arial"/>
          <w:spacing w:val="2"/>
        </w:rPr>
        <w:t> </w:t>
      </w:r>
      <w:r>
        <w:rPr>
          <w:rFonts w:ascii="Arial"/>
          <w:spacing w:val="-4"/>
        </w:rPr>
        <w:t>Counselor</w:t>
      </w:r>
    </w:p>
    <w:p>
      <w:pPr>
        <w:spacing w:line="240" w:lineRule="auto" w:before="238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Heading1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01"/>
        <w:ind w:left="118"/>
      </w:pPr>
      <w:r>
        <w:rPr>
          <w:w w:val="125"/>
        </w:rPr>
        <w:t>Application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118"/>
      </w:pPr>
      <w:r>
        <w:rPr>
          <w:w w:val="125"/>
        </w:rPr>
        <w:t>Campus</w:t>
      </w:r>
      <w:r>
        <w:rPr>
          <w:spacing w:val="28"/>
          <w:w w:val="125"/>
        </w:rPr>
        <w:t> </w:t>
      </w:r>
      <w:r>
        <w:rPr>
          <w:spacing w:val="-2"/>
          <w:w w:val="125"/>
        </w:rPr>
        <w:t>events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6210" w:space="579"/>
            <w:col w:w="3011"/>
          </w:cols>
        </w:sectPr>
      </w:pPr>
    </w:p>
    <w:p>
      <w:pPr>
        <w:spacing w:line="268" w:lineRule="auto" w:before="172"/>
        <w:ind w:left="118" w:right="38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Northwestern Regional</w:t>
      </w:r>
      <w:r>
        <w:rPr>
          <w:i/>
          <w:w w:val="125"/>
          <w:sz w:val="22"/>
        </w:rPr>
        <w:t> University, Boston, MA</w:t>
      </w:r>
    </w:p>
    <w:p>
      <w:pPr>
        <w:spacing w:before="172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July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4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4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before="7"/>
        <w:ind w:left="118"/>
      </w:pPr>
      <w:r>
        <w:rPr/>
        <w:br w:type="column"/>
      </w:r>
      <w:r>
        <w:rPr>
          <w:w w:val="120"/>
        </w:rPr>
        <w:t>Diversity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recruitment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3" w:equalWidth="0">
            <w:col w:w="2778" w:space="1267"/>
            <w:col w:w="2215" w:space="529"/>
            <w:col w:w="3011"/>
          </w:cols>
        </w:sectPr>
      </w:pPr>
    </w:p>
    <w:p>
      <w:pPr>
        <w:pStyle w:val="BodyText"/>
        <w:spacing w:line="268" w:lineRule="auto" w:before="103"/>
        <w:ind w:left="490"/>
      </w:pPr>
      <w:r>
        <w:rPr>
          <w:w w:val="120"/>
        </w:rPr>
        <w:t>Review 1,200+ applications annually for undergraduate admissions</w:t>
      </w:r>
    </w:p>
    <w:p>
      <w:pPr>
        <w:pStyle w:val="BodyText"/>
        <w:spacing w:line="254" w:lineRule="auto" w:before="89"/>
        <w:ind w:left="490"/>
      </w:pPr>
      <w:r>
        <w:rPr>
          <w:w w:val="125"/>
        </w:rPr>
        <w:t>Conduct</w:t>
      </w:r>
      <w:r>
        <w:rPr>
          <w:spacing w:val="-5"/>
          <w:w w:val="125"/>
        </w:rPr>
        <w:t> </w:t>
      </w:r>
      <w:r>
        <w:rPr>
          <w:w w:val="125"/>
        </w:rPr>
        <w:t>information</w:t>
      </w:r>
      <w:r>
        <w:rPr>
          <w:spacing w:val="-5"/>
          <w:w w:val="125"/>
        </w:rPr>
        <w:t> </w:t>
      </w:r>
      <w:r>
        <w:rPr>
          <w:w w:val="125"/>
        </w:rPr>
        <w:t>sessions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school</w:t>
      </w:r>
      <w:r>
        <w:rPr>
          <w:spacing w:val="-5"/>
          <w:w w:val="125"/>
        </w:rPr>
        <w:t> </w:t>
      </w:r>
      <w:r>
        <w:rPr>
          <w:w w:val="125"/>
        </w:rPr>
        <w:t>visits across the Northeast region</w:t>
      </w:r>
    </w:p>
    <w:p>
      <w:pPr>
        <w:pStyle w:val="BodyText"/>
        <w:spacing w:line="268" w:lineRule="auto" w:before="105"/>
        <w:ind w:left="490"/>
      </w:pPr>
      <w:r>
        <w:rPr>
          <w:w w:val="125"/>
        </w:rPr>
        <w:t>Led</w:t>
      </w:r>
      <w:r>
        <w:rPr>
          <w:spacing w:val="-8"/>
          <w:w w:val="125"/>
        </w:rPr>
        <w:t> </w:t>
      </w:r>
      <w:r>
        <w:rPr>
          <w:w w:val="125"/>
        </w:rPr>
        <w:t>diversity</w:t>
      </w:r>
      <w:r>
        <w:rPr>
          <w:spacing w:val="-8"/>
          <w:w w:val="125"/>
        </w:rPr>
        <w:t> </w:t>
      </w:r>
      <w:r>
        <w:rPr>
          <w:w w:val="125"/>
        </w:rPr>
        <w:t>outreach</w:t>
      </w:r>
      <w:r>
        <w:rPr>
          <w:spacing w:val="-8"/>
          <w:w w:val="125"/>
        </w:rPr>
        <w:t> </w:t>
      </w:r>
      <w:r>
        <w:rPr>
          <w:w w:val="125"/>
        </w:rPr>
        <w:t>program</w:t>
      </w:r>
      <w:r>
        <w:rPr>
          <w:spacing w:val="-8"/>
          <w:w w:val="125"/>
        </w:rPr>
        <w:t> </w:t>
      </w:r>
      <w:r>
        <w:rPr>
          <w:w w:val="125"/>
        </w:rPr>
        <w:t>that</w:t>
      </w:r>
      <w:r>
        <w:rPr>
          <w:spacing w:val="-8"/>
          <w:w w:val="125"/>
        </w:rPr>
        <w:t> </w:t>
      </w:r>
      <w:r>
        <w:rPr>
          <w:w w:val="125"/>
        </w:rPr>
        <w:t>increased underrepresented applicants by 25%</w:t>
      </w:r>
    </w:p>
    <w:p>
      <w:pPr>
        <w:pStyle w:val="BodyText"/>
        <w:spacing w:before="58"/>
        <w:ind w:left="490"/>
      </w:pPr>
      <w:r>
        <w:rPr/>
        <w:br w:type="column"/>
      </w:r>
      <w:r>
        <w:rPr>
          <w:w w:val="120"/>
        </w:rPr>
        <w:t>Interview</w:t>
      </w:r>
      <w:r>
        <w:rPr>
          <w:spacing w:val="11"/>
          <w:w w:val="120"/>
        </w:rPr>
        <w:t> </w:t>
      </w:r>
      <w:r>
        <w:rPr>
          <w:spacing w:val="-2"/>
          <w:w w:val="120"/>
        </w:rPr>
        <w:t>facilitation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490"/>
      </w:pPr>
      <w:r>
        <w:rPr>
          <w:w w:val="125"/>
        </w:rPr>
        <w:t>Student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engagement</w:t>
      </w:r>
    </w:p>
    <w:p>
      <w:pPr>
        <w:spacing w:after="0"/>
        <w:sectPr>
          <w:type w:val="continuous"/>
          <w:pgSz w:w="11920" w:h="16860"/>
          <w:pgMar w:top="740" w:bottom="280" w:left="1220" w:right="900"/>
          <w:cols w:num="2" w:equalWidth="0">
            <w:col w:w="5738" w:space="679"/>
            <w:col w:w="3383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40" w:bottom="280" w:left="1220" w:right="900"/>
        </w:sectPr>
      </w:pPr>
    </w:p>
    <w:p>
      <w:pPr>
        <w:pStyle w:val="Heading2"/>
        <w:spacing w:before="101"/>
        <w:rPr>
          <w:rFonts w:ascii="Arial"/>
        </w:rPr>
      </w:pPr>
      <w:r>
        <w:rPr>
          <w:rFonts w:ascii="Arial"/>
          <w:spacing w:val="-6"/>
        </w:rPr>
        <w:t>Admissions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Assistant</w:t>
      </w:r>
    </w:p>
    <w:p>
      <w:pPr>
        <w:spacing w:line="254" w:lineRule="auto" w:before="89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Bridgeton</w:t>
      </w:r>
      <w:r>
        <w:rPr>
          <w:i/>
          <w:spacing w:val="-2"/>
          <w:w w:val="125"/>
          <w:sz w:val="22"/>
        </w:rPr>
        <w:t> </w:t>
      </w:r>
      <w:r>
        <w:rPr>
          <w:i/>
          <w:w w:val="125"/>
          <w:sz w:val="22"/>
        </w:rPr>
        <w:t>College,</w:t>
      </w:r>
      <w:r>
        <w:rPr>
          <w:i/>
          <w:w w:val="125"/>
          <w:sz w:val="22"/>
        </w:rPr>
        <w:t> Cambridge, MA</w:t>
      </w:r>
    </w:p>
    <w:p>
      <w:pPr>
        <w:spacing w:line="240" w:lineRule="auto" w:before="17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3576" w:firstLine="0"/>
        <w:jc w:val="right"/>
        <w:rPr>
          <w:i/>
          <w:sz w:val="22"/>
        </w:rPr>
      </w:pPr>
      <w:r>
        <w:rPr>
          <w:i/>
          <w:w w:val="120"/>
          <w:sz w:val="22"/>
        </w:rPr>
        <w:t>August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2017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June</w:t>
      </w:r>
    </w:p>
    <w:p>
      <w:pPr>
        <w:spacing w:before="16"/>
        <w:ind w:left="0" w:right="3576" w:firstLine="0"/>
        <w:jc w:val="right"/>
        <w:rPr>
          <w:i/>
          <w:sz w:val="22"/>
        </w:rPr>
      </w:pPr>
      <w:r>
        <w:rPr>
          <w:i/>
          <w:spacing w:val="-4"/>
          <w:w w:val="110"/>
          <w:sz w:val="22"/>
        </w:rPr>
        <w:t>2019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740" w:bottom="280" w:left="1220" w:right="900"/>
          <w:cols w:num="2" w:equalWidth="0">
            <w:col w:w="2420" w:space="1577"/>
            <w:col w:w="5803"/>
          </w:cols>
        </w:sectPr>
      </w:pPr>
    </w:p>
    <w:p>
      <w:pPr>
        <w:pStyle w:val="BodyText"/>
        <w:spacing w:line="254" w:lineRule="auto" w:before="136"/>
        <w:ind w:left="490" w:right="33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020050">
                                <a:moveTo>
                                  <a:pt x="2600324" y="8020049"/>
                                </a:moveTo>
                                <a:lnTo>
                                  <a:pt x="0" y="80200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802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5765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581274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10038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1051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6337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6385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1671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17194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00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66762" y="3981449"/>
                            <a:ext cx="538162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81625" h="2552700">
                                <a:moveTo>
                                  <a:pt x="38100" y="2521610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610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610"/>
                                </a:lnTo>
                                <a:close/>
                              </a:path>
                              <a:path w="5381625" h="2552700">
                                <a:moveTo>
                                  <a:pt x="38100" y="2083460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60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60"/>
                                </a:lnTo>
                                <a:close/>
                              </a:path>
                              <a:path w="5381625" h="25527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381625" h="25527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381625" h="25527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381625" h="2552700">
                                <a:moveTo>
                                  <a:pt x="5381625" y="723900"/>
                                </a:moveTo>
                                <a:lnTo>
                                  <a:pt x="4305300" y="723900"/>
                                </a:lnTo>
                                <a:lnTo>
                                  <a:pt x="4305300" y="828675"/>
                                </a:lnTo>
                                <a:lnTo>
                                  <a:pt x="5381625" y="828675"/>
                                </a:lnTo>
                                <a:lnTo>
                                  <a:pt x="5381625" y="723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rect style="position:absolute;left:0;top:0;width:11919;height:525" id="docshape2" filled="true" fillcolor="#25a6ff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25a6ff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2630" id="docshape6" filled="true" fillcolor="#f5f5f5" stroked="false">
                  <v:fill type="solid"/>
                </v:rect>
                <v:rect style="position:absolute;left:8137;top:4057;width:2835;height:165" id="docshape7" filled="false" stroked="true" strokeweight=".75pt" strokecolor="#25a6ff">
                  <v:stroke dashstyle="solid"/>
                </v:rect>
                <v:rect style="position:absolute;left:8145;top:4065;width:2820;height:165" id="docshape8" filled="true" fillcolor="#25a6ff" stroked="false">
                  <v:fill type="solid"/>
                </v:rect>
                <v:rect style="position:absolute;left:8137;top:4882;width:2835;height:180" id="docshape9" filled="false" stroked="true" strokeweight=".75pt" strokecolor="#25a6ff">
                  <v:stroke dashstyle="solid"/>
                </v:rect>
                <v:rect style="position:absolute;left:8145;top:4890;width:2250;height:165" id="docshape10" filled="true" fillcolor="#25a6ff" stroked="false">
                  <v:fill type="solid"/>
                </v:rect>
                <v:rect style="position:absolute;left:8137;top:5722;width:2835;height:165" id="docshape11" filled="false" stroked="true" strokeweight=".75pt" strokecolor="#25a6ff">
                  <v:stroke dashstyle="solid"/>
                </v:rect>
                <v:rect style="position:absolute;left:8145;top:5730;width:2250;height:165" id="docshape12" filled="true" fillcolor="#25a6ff" stroked="false">
                  <v:fill type="solid"/>
                </v:rect>
                <v:rect style="position:absolute;left:8137;top:6562;width:2835;height:165" id="docshape13" filled="false" stroked="true" strokeweight=".75pt" strokecolor="#25a6ff">
                  <v:stroke dashstyle="solid"/>
                </v:rect>
                <v:rect style="position:absolute;left:8145;top:6570;width:1695;height:165" id="docshape14" filled="true" fillcolor="#25a6ff" stroked="false">
                  <v:fill type="solid"/>
                </v:rect>
                <v:rect style="position:absolute;left:8137;top:7402;width:2835;height:165" id="docshape15" filled="false" stroked="true" strokeweight=".75pt" strokecolor="#25a6ff">
                  <v:stroke dashstyle="solid"/>
                </v:rect>
                <v:shape style="position:absolute;left:1364;top:6270;width:8475;height:4020" id="docshape16" coordorigin="1365,6270" coordsize="8475,4020" path="m1425,10241l1424,10237,1421,10230,1419,10227,1413,10221,1410,10219,1403,10216,1399,10215,1391,10215,1387,10216,1380,10219,1377,10221,1371,10227,1369,10230,1366,10237,1365,10241,1365,10260,1365,10264,1366,10268,1369,10275,1371,10278,1377,10284,1380,10286,1387,10289,1391,10290,1399,10290,1403,10289,1410,10286,1413,10284,1419,10278,1421,10275,1424,10268,1425,10264,1425,10241xm1425,9551l1424,9547,1421,9540,1419,9537,1413,9531,1410,9529,1403,9526,1399,9525,1391,9525,1387,9526,1380,9529,1377,9531,1371,9537,1369,9540,1366,9547,1365,9551,1365,9570,1365,9574,1366,9578,1369,9585,1371,9588,1377,9594,1380,9596,1387,9599,1391,9600,1399,9600,1403,9599,1410,9596,1413,9594,1419,9588,1421,9585,1424,9578,1425,9574,1425,9551xm1425,7676l1424,7672,1421,7665,1419,7662,1413,7656,1410,7654,1403,7651,1399,7650,1391,7650,1387,7651,1380,7654,1377,7656,1371,7662,1369,7665,1366,7672,1365,7676,1365,7695,1365,7699,1366,7703,1369,7710,1371,7713,1377,7719,1380,7721,1387,7724,1391,7725,1399,7725,1403,7724,1410,7721,1413,7719,1419,7713,1421,7710,1424,7703,1425,7699,1425,7676xm1425,6986l1424,6982,1421,6975,1419,6972,1413,6966,1410,6964,1403,6961,1399,6960,1391,6960,1387,6961,1380,6964,1377,6966,1371,6972,1369,6975,1366,6982,1365,6986,1365,7005,1365,7009,1366,7013,1369,7020,1371,7023,1377,7029,1380,7031,1387,7034,1391,7035,1399,7035,1403,7034,1410,7031,1413,7029,1419,7023,1421,7020,1424,7013,1425,7009,1425,6986xm1425,6296l1424,6292,1421,6285,1419,6282,1413,6276,1410,6274,1403,6271,1399,6270,1391,6270,1387,6271,1380,6274,1377,6276,1371,6282,1369,6285,1366,6292,1365,6296,1365,6315,1365,6319,1366,6323,1369,6330,1371,6333,1377,6339,1380,6341,1387,6344,1391,6345,1399,6345,1403,6344,1410,6341,1413,6339,1419,6333,1421,6330,1424,6323,1425,6319,1425,6296xm9840,7410l8145,7410,8145,7575,9840,7575,9840,741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Organized</w:t>
      </w:r>
      <w:r>
        <w:rPr>
          <w:spacing w:val="-5"/>
          <w:w w:val="125"/>
        </w:rPr>
        <w:t> </w:t>
      </w:r>
      <w:r>
        <w:rPr>
          <w:w w:val="125"/>
        </w:rPr>
        <w:t>on-campus</w:t>
      </w:r>
      <w:r>
        <w:rPr>
          <w:spacing w:val="-5"/>
          <w:w w:val="125"/>
        </w:rPr>
        <w:t> </w:t>
      </w:r>
      <w:r>
        <w:rPr>
          <w:w w:val="125"/>
        </w:rPr>
        <w:t>tours,</w:t>
      </w:r>
      <w:r>
        <w:rPr>
          <w:spacing w:val="-5"/>
          <w:w w:val="125"/>
        </w:rPr>
        <w:t> </w:t>
      </w:r>
      <w:r>
        <w:rPr>
          <w:w w:val="125"/>
        </w:rPr>
        <w:t>webinars,</w:t>
      </w:r>
      <w:r>
        <w:rPr>
          <w:spacing w:val="-5"/>
          <w:w w:val="125"/>
        </w:rPr>
        <w:t> </w:t>
      </w:r>
      <w:r>
        <w:rPr>
          <w:w w:val="125"/>
        </w:rPr>
        <w:t>and orientation events</w:t>
      </w:r>
    </w:p>
    <w:p>
      <w:pPr>
        <w:pStyle w:val="BodyText"/>
        <w:spacing w:line="268" w:lineRule="auto" w:before="106"/>
        <w:ind w:left="490" w:right="3309"/>
      </w:pPr>
      <w:r>
        <w:rPr>
          <w:w w:val="125"/>
        </w:rPr>
        <w:t>Supported communication with applicants and parents during peak admissions season</w:t>
      </w:r>
    </w:p>
    <w:p>
      <w:pPr>
        <w:pStyle w:val="BodyText"/>
        <w:spacing w:before="111"/>
        <w:rPr>
          <w:sz w:val="26"/>
        </w:rPr>
      </w:pPr>
    </w:p>
    <w:p>
      <w:pPr>
        <w:pStyle w:val="Heading1"/>
      </w:pPr>
      <w:r>
        <w:rPr>
          <w:color w:val="25A6FF"/>
          <w:spacing w:val="-2"/>
        </w:rPr>
        <w:t>Education</w:t>
      </w:r>
    </w:p>
    <w:p>
      <w:pPr>
        <w:pStyle w:val="Heading2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-1"/>
        </w:rPr>
        <w:t> </w:t>
      </w:r>
      <w:r>
        <w:rPr>
          <w:rFonts w:ascii="Arial"/>
        </w:rPr>
        <w:t>of</w:t>
      </w:r>
      <w:r>
        <w:rPr>
          <w:rFonts w:ascii="Arial"/>
          <w:spacing w:val="-1"/>
        </w:rPr>
        <w:t> </w:t>
      </w:r>
      <w:r>
        <w:rPr>
          <w:rFonts w:ascii="Arial"/>
        </w:rPr>
        <w:t>Arts</w:t>
      </w:r>
      <w:r>
        <w:rPr>
          <w:rFonts w:ascii="Arial"/>
          <w:spacing w:val="-1"/>
        </w:rPr>
        <w:t> </w:t>
      </w:r>
      <w:r>
        <w:rPr>
          <w:rFonts w:ascii="Arial"/>
        </w:rPr>
        <w:t>in </w:t>
      </w:r>
      <w:r>
        <w:rPr>
          <w:rFonts w:ascii="Arial"/>
          <w:spacing w:val="-2"/>
        </w:rPr>
        <w:t>Communication</w:t>
      </w:r>
    </w:p>
    <w:p>
      <w:pPr>
        <w:pStyle w:val="BodyText"/>
        <w:spacing w:before="89"/>
        <w:ind w:left="118"/>
      </w:pPr>
      <w:r>
        <w:rPr>
          <w:w w:val="115"/>
        </w:rPr>
        <w:t>Emerson</w:t>
      </w:r>
      <w:r>
        <w:rPr>
          <w:spacing w:val="34"/>
          <w:w w:val="115"/>
        </w:rPr>
        <w:t> </w:t>
      </w:r>
      <w:r>
        <w:rPr>
          <w:w w:val="115"/>
        </w:rPr>
        <w:t>College,</w:t>
      </w:r>
      <w:r>
        <w:rPr>
          <w:spacing w:val="35"/>
          <w:w w:val="115"/>
        </w:rPr>
        <w:t> </w:t>
      </w:r>
      <w:r>
        <w:rPr>
          <w:w w:val="115"/>
        </w:rPr>
        <w:t>Boston,</w:t>
      </w:r>
      <w:r>
        <w:rPr>
          <w:spacing w:val="34"/>
          <w:w w:val="115"/>
        </w:rPr>
        <w:t> </w:t>
      </w:r>
      <w:r>
        <w:rPr>
          <w:w w:val="115"/>
        </w:rPr>
        <w:t>MA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rPr>
          <w:sz w:val="26"/>
        </w:rPr>
      </w:pPr>
    </w:p>
    <w:p>
      <w:pPr>
        <w:pStyle w:val="BodyText"/>
        <w:spacing w:before="37"/>
        <w:rPr>
          <w:sz w:val="26"/>
        </w:rPr>
      </w:pPr>
    </w:p>
    <w:p>
      <w:pPr>
        <w:pStyle w:val="Heading1"/>
      </w:pPr>
      <w:r>
        <w:rPr>
          <w:color w:val="25A6FF"/>
          <w:spacing w:val="-2"/>
          <w:w w:val="115"/>
        </w:rPr>
        <w:t>Certiications</w:t>
      </w:r>
    </w:p>
    <w:p>
      <w:pPr>
        <w:spacing w:line="285" w:lineRule="auto" w:before="219"/>
        <w:ind w:left="118" w:right="6043" w:firstLine="0"/>
        <w:jc w:val="left"/>
        <w:rPr>
          <w:rFonts w:ascii="Arial"/>
          <w:b/>
          <w:sz w:val="22"/>
        </w:rPr>
      </w:pPr>
      <w:r>
        <w:rPr>
          <w:rFonts w:ascii="Arial"/>
          <w:b/>
          <w:w w:val="110"/>
          <w:sz w:val="22"/>
        </w:rPr>
        <w:t>Certiied</w:t>
      </w:r>
      <w:r>
        <w:rPr>
          <w:rFonts w:ascii="Arial"/>
          <w:b/>
          <w:spacing w:val="-2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Admissions </w:t>
      </w:r>
      <w:r>
        <w:rPr>
          <w:rFonts w:ascii="Arial"/>
          <w:b/>
          <w:sz w:val="22"/>
        </w:rPr>
        <w:t>Professional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|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NACAC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|</w:t>
      </w:r>
      <w:r>
        <w:rPr>
          <w:rFonts w:ascii="Arial"/>
          <w:b/>
          <w:spacing w:val="-9"/>
          <w:sz w:val="22"/>
        </w:rPr>
        <w:t> </w:t>
      </w:r>
      <w:r>
        <w:rPr>
          <w:rFonts w:ascii="Arial"/>
          <w:b/>
          <w:sz w:val="22"/>
        </w:rPr>
        <w:t>2019</w:t>
      </w:r>
    </w:p>
    <w:sectPr>
      <w:type w:val="continuous"/>
      <w:pgSz w:w="11920" w:h="16860"/>
      <w:pgMar w:top="74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9"/>
      <w:ind w:left="11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309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2025-10-31T15:49:49Z</dcterms:created>
  <dcterms:modified xsi:type="dcterms:W3CDTF">2025-10-31T15:49:49Z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