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A98DE"/>
          <w:w w:val="130"/>
        </w:rPr>
        <w:t>Logan</w:t>
      </w:r>
      <w:r>
        <w:rPr>
          <w:color w:val="2A98DE"/>
          <w:spacing w:val="15"/>
          <w:w w:val="130"/>
        </w:rPr>
        <w:t> </w:t>
      </w:r>
      <w:r>
        <w:rPr>
          <w:color w:val="2A98DE"/>
          <w:spacing w:val="-4"/>
          <w:w w:val="130"/>
        </w:rPr>
        <w:t>Hall</w:t>
      </w:r>
    </w:p>
    <w:p>
      <w:pPr>
        <w:pStyle w:val="BodyText"/>
        <w:spacing w:line="254" w:lineRule="auto" w:before="81"/>
        <w:ind w:left="1338" w:right="5918"/>
        <w:rPr>
          <w:rFonts w:ascii="Calibri"/>
        </w:rPr>
      </w:pPr>
      <w:r>
        <w:rPr>
          <w:rFonts w:ascii="Calibri"/>
          <w:color w:val="2A98DE"/>
          <w:w w:val="125"/>
        </w:rPr>
        <w:t>Administrative</w:t>
      </w:r>
      <w:r>
        <w:rPr>
          <w:rFonts w:ascii="Calibri"/>
          <w:color w:val="2A98DE"/>
          <w:spacing w:val="-16"/>
          <w:w w:val="125"/>
        </w:rPr>
        <w:t> </w:t>
      </w:r>
      <w:r>
        <w:rPr>
          <w:rFonts w:ascii="Calibri"/>
          <w:color w:val="2A98DE"/>
          <w:w w:val="125"/>
        </w:rPr>
        <w:t>Assistant</w:t>
      </w:r>
      <w:r>
        <w:rPr>
          <w:rFonts w:ascii="Calibri"/>
          <w:color w:val="2A98DE"/>
          <w:spacing w:val="-16"/>
          <w:w w:val="125"/>
        </w:rPr>
        <w:t> </w:t>
      </w:r>
      <w:r>
        <w:rPr>
          <w:rFonts w:ascii="Calibri"/>
          <w:color w:val="2A98DE"/>
          <w:w w:val="125"/>
        </w:rPr>
        <w:t>Property </w:t>
      </w:r>
      <w:r>
        <w:rPr>
          <w:rFonts w:ascii="Calibri"/>
          <w:color w:val="2A98DE"/>
          <w:spacing w:val="-2"/>
          <w:w w:val="125"/>
        </w:rPr>
        <w:t>Management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3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1240" w:bottom="280" w:left="0" w:right="840"/>
        </w:sectPr>
      </w:pPr>
    </w:p>
    <w:p>
      <w:pPr>
        <w:spacing w:line="280" w:lineRule="auto" w:before="103"/>
        <w:ind w:left="1338" w:right="624" w:firstLine="0"/>
        <w:jc w:val="left"/>
        <w:rPr>
          <w:b/>
          <w:sz w:val="22"/>
        </w:rPr>
      </w:pPr>
      <w:r>
        <w:rPr>
          <w:b/>
          <w:color w:val="2A98DE"/>
          <w:sz w:val="22"/>
        </w:rPr>
        <w:t>Administrative Assistant with a strong foundation in property management operations</w:t>
      </w:r>
    </w:p>
    <w:p>
      <w:pPr>
        <w:spacing w:line="280" w:lineRule="auto" w:before="107"/>
        <w:ind w:left="1338" w:right="0" w:firstLine="0"/>
        <w:jc w:val="left"/>
        <w:rPr>
          <w:b/>
          <w:sz w:val="22"/>
        </w:rPr>
      </w:pPr>
      <w:r>
        <w:rPr>
          <w:b/>
          <w:color w:val="2A98DE"/>
          <w:sz w:val="22"/>
        </w:rPr>
        <w:t>Detail-oriented professional with over 5 years of experience supporting property managers in scheduling, document preparation, and tenant communications.</w:t>
      </w:r>
    </w:p>
    <w:p>
      <w:pPr>
        <w:spacing w:line="280" w:lineRule="auto" w:before="0"/>
        <w:ind w:left="1338" w:right="26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648083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2A98DE"/>
                                <w:w w:val="12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2A98DE"/>
                                <w:spacing w:val="10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2A98DE"/>
                                <w:spacing w:val="-2"/>
                                <w:w w:val="12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1.030182pt;width:390.75pt;height:18.75pt;mso-position-horizontal-relative:page;mso-position-vertical-relative:paragraph;z-index:15729664" type="#_x0000_t202" id="docshape1" filled="true" fillcolor="#2a98de" stroked="false"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2A98DE"/>
                          <w:w w:val="12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2A98DE"/>
                          <w:spacing w:val="10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2A98DE"/>
                          <w:spacing w:val="-2"/>
                          <w:w w:val="125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2A98DE"/>
          <w:w w:val="105"/>
          <w:sz w:val="22"/>
        </w:rPr>
        <w:t>Skilled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in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handling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high-volume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administrative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tasks</w:t>
      </w:r>
      <w:r>
        <w:rPr>
          <w:b/>
          <w:color w:val="2A98DE"/>
          <w:spacing w:val="-16"/>
          <w:w w:val="105"/>
          <w:sz w:val="22"/>
        </w:rPr>
        <w:t> </w:t>
      </w:r>
      <w:r>
        <w:rPr>
          <w:b/>
          <w:color w:val="2A98DE"/>
          <w:w w:val="105"/>
          <w:sz w:val="22"/>
        </w:rPr>
        <w:t>in fast-paced leasing offices.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"/>
        <w:rPr>
          <w:b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A98DE"/>
          <w:spacing w:val="-2"/>
          <w:w w:val="130"/>
          <w:sz w:val="18"/>
        </w:rPr>
        <w:t>Administrative</w:t>
      </w:r>
      <w:r>
        <w:rPr>
          <w:rFonts w:ascii="Calibri"/>
          <w:b/>
          <w:color w:val="2A98DE"/>
          <w:spacing w:val="7"/>
          <w:w w:val="130"/>
          <w:sz w:val="18"/>
        </w:rPr>
        <w:t> </w:t>
      </w:r>
      <w:r>
        <w:rPr>
          <w:rFonts w:ascii="Calibri"/>
          <w:b/>
          <w:color w:val="2A98DE"/>
          <w:spacing w:val="-2"/>
          <w:w w:val="130"/>
          <w:sz w:val="18"/>
        </w:rPr>
        <w:t>Assistant</w:t>
      </w:r>
    </w:p>
    <w:p>
      <w:pPr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spacing w:val="-2"/>
          <w:w w:val="105"/>
          <w:sz w:val="22"/>
        </w:rPr>
        <w:t>Creekwood</w:t>
      </w:r>
      <w:r>
        <w:rPr>
          <w:i/>
          <w:color w:val="2A98DE"/>
          <w:spacing w:val="-9"/>
          <w:w w:val="105"/>
          <w:sz w:val="22"/>
        </w:rPr>
        <w:t> </w:t>
      </w:r>
      <w:r>
        <w:rPr>
          <w:i/>
          <w:color w:val="2A98DE"/>
          <w:spacing w:val="-2"/>
          <w:w w:val="105"/>
          <w:sz w:val="22"/>
        </w:rPr>
        <w:t>Management</w:t>
      </w:r>
      <w:r>
        <w:rPr>
          <w:i/>
          <w:color w:val="2A98DE"/>
          <w:spacing w:val="-9"/>
          <w:w w:val="105"/>
          <w:sz w:val="22"/>
        </w:rPr>
        <w:t> </w:t>
      </w:r>
      <w:r>
        <w:rPr>
          <w:i/>
          <w:color w:val="2A98DE"/>
          <w:spacing w:val="-2"/>
          <w:w w:val="105"/>
          <w:sz w:val="22"/>
        </w:rPr>
        <w:t>Services,</w:t>
      </w:r>
    </w:p>
    <w:p>
      <w:pPr>
        <w:tabs>
          <w:tab w:pos="5494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spacing w:val="-5"/>
          <w:sz w:val="22"/>
        </w:rPr>
        <w:t>Portland, OR</w:t>
      </w:r>
      <w:r>
        <w:rPr>
          <w:i/>
          <w:color w:val="2A98DE"/>
          <w:sz w:val="22"/>
        </w:rPr>
        <w:tab/>
        <w:t>April</w:t>
      </w:r>
      <w:r>
        <w:rPr>
          <w:i/>
          <w:color w:val="2A98DE"/>
          <w:spacing w:val="-17"/>
          <w:sz w:val="22"/>
        </w:rPr>
        <w:t> </w:t>
      </w:r>
      <w:r>
        <w:rPr>
          <w:i/>
          <w:color w:val="2A98DE"/>
          <w:sz w:val="22"/>
        </w:rPr>
        <w:t>2020</w:t>
      </w:r>
      <w:r>
        <w:rPr>
          <w:i/>
          <w:color w:val="2A98DE"/>
          <w:spacing w:val="-12"/>
          <w:sz w:val="22"/>
        </w:rPr>
        <w:t> </w:t>
      </w:r>
      <w:r>
        <w:rPr>
          <w:i/>
          <w:color w:val="2A98DE"/>
          <w:sz w:val="22"/>
        </w:rPr>
        <w:t>-</w:t>
      </w:r>
      <w:r>
        <w:rPr>
          <w:i/>
          <w:color w:val="2A98DE"/>
          <w:spacing w:val="-12"/>
          <w:sz w:val="22"/>
        </w:rPr>
        <w:t> </w:t>
      </w:r>
      <w:r>
        <w:rPr>
          <w:i/>
          <w:color w:val="2A98DE"/>
          <w:spacing w:val="-2"/>
          <w:sz w:val="22"/>
        </w:rPr>
        <w:t>Present</w:t>
      </w:r>
    </w:p>
    <w:p>
      <w:pPr>
        <w:pStyle w:val="BodyText"/>
        <w:spacing w:line="280" w:lineRule="auto" w:before="150"/>
        <w:ind w:left="1710"/>
      </w:pPr>
      <w:r>
        <w:rPr>
          <w:color w:val="2A98DE"/>
          <w:spacing w:val="-2"/>
          <w:w w:val="105"/>
        </w:rPr>
        <w:t>Support</w:t>
      </w:r>
      <w:r>
        <w:rPr>
          <w:color w:val="2A98DE"/>
          <w:spacing w:val="-13"/>
          <w:w w:val="105"/>
        </w:rPr>
        <w:t> </w:t>
      </w:r>
      <w:r>
        <w:rPr>
          <w:color w:val="2A98DE"/>
          <w:spacing w:val="-2"/>
          <w:w w:val="105"/>
        </w:rPr>
        <w:t>operations</w:t>
      </w:r>
      <w:r>
        <w:rPr>
          <w:color w:val="2A98DE"/>
          <w:spacing w:val="-13"/>
          <w:w w:val="105"/>
        </w:rPr>
        <w:t> </w:t>
      </w:r>
      <w:r>
        <w:rPr>
          <w:color w:val="2A98DE"/>
          <w:spacing w:val="-2"/>
          <w:w w:val="105"/>
        </w:rPr>
        <w:t>for</w:t>
      </w:r>
      <w:r>
        <w:rPr>
          <w:color w:val="2A98DE"/>
          <w:spacing w:val="-18"/>
          <w:w w:val="105"/>
        </w:rPr>
        <w:t> </w:t>
      </w:r>
      <w:r>
        <w:rPr>
          <w:color w:val="2A98DE"/>
          <w:spacing w:val="-2"/>
          <w:w w:val="105"/>
        </w:rPr>
        <w:t>3</w:t>
      </w:r>
      <w:r>
        <w:rPr>
          <w:color w:val="2A98DE"/>
          <w:spacing w:val="-13"/>
          <w:w w:val="105"/>
        </w:rPr>
        <w:t> </w:t>
      </w:r>
      <w:r>
        <w:rPr>
          <w:color w:val="2A98DE"/>
          <w:spacing w:val="-2"/>
          <w:w w:val="105"/>
        </w:rPr>
        <w:t>residential</w:t>
      </w:r>
      <w:r>
        <w:rPr>
          <w:color w:val="2A98DE"/>
          <w:spacing w:val="-20"/>
          <w:w w:val="105"/>
        </w:rPr>
        <w:t> </w:t>
      </w:r>
      <w:r>
        <w:rPr>
          <w:color w:val="2A98DE"/>
          <w:spacing w:val="-2"/>
          <w:w w:val="105"/>
        </w:rPr>
        <w:t>properties</w:t>
      </w:r>
      <w:r>
        <w:rPr>
          <w:color w:val="2A98DE"/>
          <w:spacing w:val="-13"/>
          <w:w w:val="105"/>
        </w:rPr>
        <w:t> </w:t>
      </w:r>
      <w:r>
        <w:rPr>
          <w:color w:val="2A98DE"/>
          <w:spacing w:val="-2"/>
          <w:w w:val="105"/>
        </w:rPr>
        <w:t>totaling </w:t>
      </w:r>
      <w:r>
        <w:rPr>
          <w:color w:val="2A98DE"/>
          <w:w w:val="105"/>
        </w:rPr>
        <w:t>200 units</w:t>
      </w:r>
    </w:p>
    <w:p>
      <w:pPr>
        <w:pStyle w:val="BodyText"/>
        <w:spacing w:line="280" w:lineRule="auto" w:before="92"/>
        <w:ind w:left="1710"/>
      </w:pPr>
      <w:r>
        <w:rPr>
          <w:color w:val="2A98DE"/>
          <w:w w:val="105"/>
        </w:rPr>
        <w:t>Manage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maintenance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request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logs,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lease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renewals,</w:t>
      </w:r>
      <w:r>
        <w:rPr>
          <w:color w:val="2A98DE"/>
          <w:spacing w:val="-5"/>
          <w:w w:val="105"/>
        </w:rPr>
        <w:t> </w:t>
      </w:r>
      <w:r>
        <w:rPr>
          <w:color w:val="2A98DE"/>
          <w:w w:val="105"/>
        </w:rPr>
        <w:t>and vendor invoice tracking</w:t>
      </w:r>
    </w:p>
    <w:p>
      <w:pPr>
        <w:pStyle w:val="BodyText"/>
        <w:spacing w:line="280" w:lineRule="auto" w:before="92"/>
        <w:ind w:left="1710"/>
      </w:pPr>
      <w:r>
        <w:rPr>
          <w:color w:val="2A98DE"/>
          <w:spacing w:val="-2"/>
          <w:w w:val="105"/>
        </w:rPr>
        <w:t>Assist</w:t>
      </w:r>
      <w:r>
        <w:rPr>
          <w:color w:val="2A98DE"/>
          <w:spacing w:val="-19"/>
          <w:w w:val="105"/>
        </w:rPr>
        <w:t> </w:t>
      </w:r>
      <w:r>
        <w:rPr>
          <w:color w:val="2A98DE"/>
          <w:spacing w:val="-2"/>
          <w:w w:val="105"/>
        </w:rPr>
        <w:t>with</w:t>
      </w:r>
      <w:r>
        <w:rPr>
          <w:color w:val="2A98DE"/>
          <w:spacing w:val="-12"/>
          <w:w w:val="105"/>
        </w:rPr>
        <w:t> </w:t>
      </w:r>
      <w:r>
        <w:rPr>
          <w:color w:val="2A98DE"/>
          <w:spacing w:val="-2"/>
          <w:w w:val="105"/>
        </w:rPr>
        <w:t>monthly</w:t>
      </w:r>
      <w:r>
        <w:rPr>
          <w:color w:val="2A98DE"/>
          <w:spacing w:val="-19"/>
          <w:w w:val="105"/>
        </w:rPr>
        <w:t> </w:t>
      </w:r>
      <w:r>
        <w:rPr>
          <w:color w:val="2A98DE"/>
          <w:spacing w:val="-2"/>
          <w:w w:val="105"/>
        </w:rPr>
        <w:t>rent</w:t>
      </w:r>
      <w:r>
        <w:rPr>
          <w:color w:val="2A98DE"/>
          <w:spacing w:val="-12"/>
          <w:w w:val="105"/>
        </w:rPr>
        <w:t> </w:t>
      </w:r>
      <w:r>
        <w:rPr>
          <w:color w:val="2A98DE"/>
          <w:spacing w:val="-2"/>
          <w:w w:val="105"/>
        </w:rPr>
        <w:t>collection</w:t>
      </w:r>
      <w:r>
        <w:rPr>
          <w:color w:val="2A98DE"/>
          <w:spacing w:val="-12"/>
          <w:w w:val="105"/>
        </w:rPr>
        <w:t> </w:t>
      </w:r>
      <w:r>
        <w:rPr>
          <w:color w:val="2A98DE"/>
          <w:spacing w:val="-2"/>
          <w:w w:val="105"/>
        </w:rPr>
        <w:t>reports</w:t>
      </w:r>
      <w:r>
        <w:rPr>
          <w:color w:val="2A98DE"/>
          <w:spacing w:val="-12"/>
          <w:w w:val="105"/>
        </w:rPr>
        <w:t> </w:t>
      </w:r>
      <w:r>
        <w:rPr>
          <w:color w:val="2A98DE"/>
          <w:spacing w:val="-2"/>
          <w:w w:val="105"/>
        </w:rPr>
        <w:t>and</w:t>
      </w:r>
      <w:r>
        <w:rPr>
          <w:color w:val="2A98DE"/>
          <w:spacing w:val="-12"/>
          <w:w w:val="105"/>
        </w:rPr>
        <w:t> </w:t>
      </w:r>
      <w:r>
        <w:rPr>
          <w:color w:val="2A98DE"/>
          <w:spacing w:val="-2"/>
          <w:w w:val="105"/>
        </w:rPr>
        <w:t>filing </w:t>
      </w:r>
      <w:r>
        <w:rPr>
          <w:color w:val="2A98DE"/>
          <w:w w:val="105"/>
        </w:rPr>
        <w:t>compliance documentation</w:t>
      </w:r>
    </w:p>
    <w:p>
      <w:pPr>
        <w:spacing w:before="217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2A98DE"/>
          <w:spacing w:val="-2"/>
          <w:w w:val="130"/>
          <w:sz w:val="18"/>
        </w:rPr>
        <w:t>Receptionist</w:t>
      </w:r>
    </w:p>
    <w:p>
      <w:pPr>
        <w:spacing w:before="61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spacing w:val="-2"/>
          <w:sz w:val="22"/>
        </w:rPr>
        <w:t>Summit</w:t>
      </w:r>
      <w:r>
        <w:rPr>
          <w:i/>
          <w:color w:val="2A98DE"/>
          <w:spacing w:val="-9"/>
          <w:sz w:val="22"/>
        </w:rPr>
        <w:t> </w:t>
      </w:r>
      <w:r>
        <w:rPr>
          <w:i/>
          <w:color w:val="2A98DE"/>
          <w:spacing w:val="-2"/>
          <w:sz w:val="22"/>
        </w:rPr>
        <w:t>Property</w:t>
      </w:r>
      <w:r>
        <w:rPr>
          <w:i/>
          <w:color w:val="2A98DE"/>
          <w:spacing w:val="-14"/>
          <w:sz w:val="22"/>
        </w:rPr>
        <w:t> </w:t>
      </w:r>
      <w:r>
        <w:rPr>
          <w:i/>
          <w:color w:val="2A98DE"/>
          <w:spacing w:val="-2"/>
          <w:sz w:val="22"/>
        </w:rPr>
        <w:t>Group,</w:t>
      </w:r>
    </w:p>
    <w:p>
      <w:pPr>
        <w:tabs>
          <w:tab w:pos="5080" w:val="left" w:leader="none"/>
        </w:tabs>
        <w:spacing w:before="44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spacing w:val="-5"/>
          <w:sz w:val="22"/>
        </w:rPr>
        <w:t>Portland, OR</w:t>
      </w:r>
      <w:r>
        <w:rPr>
          <w:i/>
          <w:color w:val="2A98DE"/>
          <w:sz w:val="22"/>
        </w:rPr>
        <w:tab/>
        <w:t>June</w:t>
      </w:r>
      <w:r>
        <w:rPr>
          <w:i/>
          <w:color w:val="2A98DE"/>
          <w:spacing w:val="-5"/>
          <w:sz w:val="22"/>
        </w:rPr>
        <w:t> </w:t>
      </w:r>
      <w:r>
        <w:rPr>
          <w:i/>
          <w:color w:val="2A98DE"/>
          <w:sz w:val="22"/>
        </w:rPr>
        <w:t>2017</w:t>
      </w:r>
      <w:r>
        <w:rPr>
          <w:i/>
          <w:color w:val="2A98DE"/>
          <w:spacing w:val="-4"/>
          <w:sz w:val="22"/>
        </w:rPr>
        <w:t> </w:t>
      </w:r>
      <w:r>
        <w:rPr>
          <w:i/>
          <w:color w:val="2A98DE"/>
          <w:sz w:val="22"/>
        </w:rPr>
        <w:t>-</w:t>
      </w:r>
      <w:r>
        <w:rPr>
          <w:i/>
          <w:color w:val="2A98DE"/>
          <w:spacing w:val="-5"/>
          <w:sz w:val="22"/>
        </w:rPr>
        <w:t> </w:t>
      </w:r>
      <w:r>
        <w:rPr>
          <w:i/>
          <w:color w:val="2A98DE"/>
          <w:sz w:val="22"/>
        </w:rPr>
        <w:t>March</w:t>
      </w:r>
      <w:r>
        <w:rPr>
          <w:i/>
          <w:color w:val="2A98DE"/>
          <w:spacing w:val="-4"/>
          <w:sz w:val="22"/>
        </w:rPr>
        <w:t> 2020</w:t>
      </w:r>
    </w:p>
    <w:p>
      <w:pPr>
        <w:pStyle w:val="BodyText"/>
        <w:spacing w:line="280" w:lineRule="auto" w:before="150"/>
        <w:ind w:left="1710" w:right="40"/>
      </w:pPr>
      <w:r>
        <w:rPr>
          <w:color w:val="2A98DE"/>
          <w:w w:val="105"/>
        </w:rPr>
        <w:t>Answered high-volume calls and routed tenant issues to appropriate departments</w:t>
      </w:r>
    </w:p>
    <w:p>
      <w:pPr>
        <w:pStyle w:val="BodyText"/>
        <w:spacing w:line="280" w:lineRule="auto" w:before="92"/>
        <w:ind w:left="1710"/>
      </w:pPr>
      <w:r>
        <w:rPr>
          <w:color w:val="2A98DE"/>
          <w:w w:val="105"/>
        </w:rPr>
        <w:t>Supported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lease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file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creation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and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filing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system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updates for regulatory compliance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ind w:left="1038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90"/>
        <w:ind w:left="1038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104"/>
        <w:ind w:left="1038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3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4"/>
        <w:ind w:left="1038"/>
      </w:pPr>
      <w:r>
        <w:rPr>
          <w:color w:val="FFFFFF"/>
          <w:w w:val="105"/>
        </w:rPr>
        <w:t>Calendar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w w:val="105"/>
        </w:rPr>
        <w:t>Document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spacing w:val="-2"/>
          <w:w w:val="105"/>
        </w:rPr>
        <w:t>Invoice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processing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</w:rPr>
        <w:t>Lease</w:t>
      </w:r>
      <w:r>
        <w:rPr>
          <w:color w:val="FFFFFF"/>
          <w:spacing w:val="5"/>
        </w:rPr>
        <w:t> </w:t>
      </w:r>
      <w:r>
        <w:rPr>
          <w:color w:val="FFFFFF"/>
        </w:rPr>
        <w:t>file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audits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w w:val="105"/>
        </w:rPr>
        <w:t>Maintenance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spacing w:val="-4"/>
        </w:rPr>
        <w:t>Office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</w:rPr>
        <w:t>Tenant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correspondence</w:t>
      </w:r>
    </w:p>
    <w:p>
      <w:pPr>
        <w:spacing w:after="0"/>
        <w:sectPr>
          <w:type w:val="continuous"/>
          <w:pgSz w:w="11920" w:h="16860"/>
          <w:pgMar w:top="1240" w:bottom="280" w:left="0" w:right="840"/>
          <w:cols w:num="2" w:equalWidth="0">
            <w:col w:w="7440" w:space="40"/>
            <w:col w:w="3600"/>
          </w:cols>
        </w:sectPr>
      </w:pPr>
    </w:p>
    <w:p>
      <w:pPr>
        <w:pStyle w:val="BodyText"/>
        <w:spacing w:before="111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8573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857362"/>
                                </a:lnTo>
                                <a:lnTo>
                                  <a:pt x="4962512" y="18573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895849"/>
                            <a:ext cx="3810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495550">
                                <a:moveTo>
                                  <a:pt x="38100" y="2464460"/>
                                </a:moveTo>
                                <a:lnTo>
                                  <a:pt x="21577" y="2447925"/>
                                </a:lnTo>
                                <a:lnTo>
                                  <a:pt x="16535" y="2447925"/>
                                </a:lnTo>
                                <a:lnTo>
                                  <a:pt x="0" y="2464460"/>
                                </a:lnTo>
                                <a:lnTo>
                                  <a:pt x="0" y="2476500"/>
                                </a:lnTo>
                                <a:lnTo>
                                  <a:pt x="0" y="2479027"/>
                                </a:lnTo>
                                <a:lnTo>
                                  <a:pt x="16535" y="2495550"/>
                                </a:lnTo>
                                <a:lnTo>
                                  <a:pt x="21577" y="2495550"/>
                                </a:lnTo>
                                <a:lnTo>
                                  <a:pt x="38100" y="2479027"/>
                                </a:lnTo>
                                <a:lnTo>
                                  <a:pt x="38100" y="2464460"/>
                                </a:lnTo>
                                <a:close/>
                              </a:path>
                              <a:path w="38100" h="2495550">
                                <a:moveTo>
                                  <a:pt x="38100" y="2035835"/>
                                </a:moveTo>
                                <a:lnTo>
                                  <a:pt x="21577" y="2019300"/>
                                </a:lnTo>
                                <a:lnTo>
                                  <a:pt x="16535" y="2019300"/>
                                </a:lnTo>
                                <a:lnTo>
                                  <a:pt x="0" y="2035835"/>
                                </a:lnTo>
                                <a:lnTo>
                                  <a:pt x="0" y="2047875"/>
                                </a:lnTo>
                                <a:lnTo>
                                  <a:pt x="0" y="2050402"/>
                                </a:lnTo>
                                <a:lnTo>
                                  <a:pt x="16535" y="2066925"/>
                                </a:lnTo>
                                <a:lnTo>
                                  <a:pt x="21577" y="2066925"/>
                                </a:lnTo>
                                <a:lnTo>
                                  <a:pt x="38100" y="2050402"/>
                                </a:lnTo>
                                <a:lnTo>
                                  <a:pt x="38100" y="2035835"/>
                                </a:lnTo>
                                <a:close/>
                              </a:path>
                              <a:path w="38100" h="2495550">
                                <a:moveTo>
                                  <a:pt x="38100" y="883310"/>
                                </a:moveTo>
                                <a:lnTo>
                                  <a:pt x="21577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95350"/>
                                </a:lnTo>
                                <a:lnTo>
                                  <a:pt x="0" y="897877"/>
                                </a:lnTo>
                                <a:lnTo>
                                  <a:pt x="16535" y="914400"/>
                                </a:lnTo>
                                <a:lnTo>
                                  <a:pt x="21577" y="914400"/>
                                </a:lnTo>
                                <a:lnTo>
                                  <a:pt x="38100" y="897877"/>
                                </a:lnTo>
                                <a:lnTo>
                                  <a:pt x="38100" y="883310"/>
                                </a:lnTo>
                                <a:close/>
                              </a:path>
                              <a:path w="38100" h="24955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59727"/>
                                </a:lnTo>
                                <a:lnTo>
                                  <a:pt x="16535" y="476250"/>
                                </a:lnTo>
                                <a:lnTo>
                                  <a:pt x="21577" y="476250"/>
                                </a:lnTo>
                                <a:lnTo>
                                  <a:pt x="38100" y="459727"/>
                                </a:lnTo>
                                <a:lnTo>
                                  <a:pt x="38100" y="457200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4955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4624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4672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49577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4962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4530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4578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59483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59531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4436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4484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69389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69437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4962" y="74342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9724" y="74390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9056" id="docshapegroup2" coordorigin="0,0" coordsize="11919,16858">
                <v:rect style="position:absolute;left:7815;top:0;width:4104;height:16858" id="docshape3" filled="true" fillcolor="#2a98de" stroked="false">
                  <v:fill type="solid"/>
                </v:rect>
                <v:shape style="position:absolute;left:0;top:0;width:7815;height:2925" id="docshape4" coordorigin="0,0" coordsize="7815,2925" path="m7815,0l0,0,0,510,0,2925,7815,2925,7815,510,7815,0xe" filled="true" fillcolor="#2a98de" stroked="false">
                  <v:path arrowok="t"/>
                  <v:fill opacity="32899f" type="solid"/>
                </v:shape>
                <v:shape style="position:absolute;left:1364;top:7710;width:60;height:3930" id="docshape5" coordorigin="1365,7710" coordsize="60,3930" path="m1425,11591l1424,11587,1421,11580,1419,11577,1413,11571,1410,11569,1403,11566,1399,11565,1391,11565,1387,11566,1380,11569,1377,11571,1371,11577,1369,11580,1366,11587,1365,11591,1365,11610,1365,11614,1366,11618,1369,11625,1371,11628,1377,11634,1380,11636,1387,11639,1391,11640,1399,11640,1403,11639,1410,11636,1413,11634,1419,11628,1421,11625,1424,11618,1425,11614,1425,11591xm1425,10916l1424,10912,1421,10905,1419,10902,1413,10896,1410,10894,1403,10891,1399,10890,1391,10890,1387,10891,1380,10894,1377,10896,1371,10902,1369,10905,1366,10912,1365,10916,1365,10935,1365,10939,1366,10943,1369,10950,1371,10953,1377,10959,1380,10961,1387,10964,1391,10965,1399,10965,1403,10964,1410,10961,1413,10959,1419,10953,1421,10950,1424,10943,1425,10939,1425,10916xm1425,9101l1424,9097,1421,9090,1419,9087,1413,9081,1410,9079,1403,9076,1399,9075,1391,9075,1387,9076,1380,9079,1377,9081,1371,9087,1369,9090,1366,9097,1365,9101,1365,9120,1365,9124,1366,9128,1369,9135,1371,9138,1377,9144,1380,9146,1387,9149,1391,9150,1399,9150,1403,9149,1410,9146,1413,9144,1419,9138,1421,9135,1424,9128,1425,9124,1425,9101xm1425,8426l1424,8422,1421,8415,1419,8412,1413,8406,1410,8404,1403,8401,1399,8400,1391,8400,1387,8401,1380,8404,1377,8406,1371,8412,1369,8415,1366,8422,1365,8426,1365,8434,1366,8438,1369,8445,1371,8448,1377,8454,1380,8456,1387,8459,1391,8460,1399,8460,1403,8459,1410,8456,1413,8454,1419,8448,1421,8445,1424,8438,1425,8434,1425,8430,1425,8426xm1425,7736l1424,7732,1421,7725,1419,7722,1413,7716,1410,7714,1403,7711,1399,7710,1391,7710,1387,7711,1380,7714,1377,7716,1371,7722,1369,7725,1366,7732,1365,7736,1365,7755,1365,7759,1366,7763,1369,7770,1371,7773,1377,7779,1380,7781,1387,7784,1391,7785,1399,7785,1403,7784,1410,7781,1413,7779,1419,7773,1421,7770,1424,7763,1425,7759,1425,7736xe" filled="true" fillcolor="#2a98de" stroked="false">
                  <v:path arrowok="t"/>
                  <v:fill type="solid"/>
                </v:shape>
                <v:rect style="position:absolute;left:8527;top:7027;width:2655;height:165" id="docshape6" filled="false" stroked="true" strokeweight=".75pt" strokecolor="#ffffff">
                  <v:stroke dashstyle="solid"/>
                </v:rect>
                <v:rect style="position:absolute;left:8535;top:7035;width:2640;height:165" id="docshape7" filled="true" fillcolor="#ffffff" stroked="false">
                  <v:fill type="solid"/>
                </v:rect>
                <v:rect style="position:absolute;left:8527;top:7807;width:2655;height:165" id="docshape8" filled="false" stroked="true" strokeweight=".75pt" strokecolor="#ffffff">
                  <v:stroke dashstyle="solid"/>
                </v:rect>
                <v:rect style="position:absolute;left:8535;top:7815;width:2115;height:165" id="docshape9" filled="true" fillcolor="#ffffff" stroked="false">
                  <v:fill type="solid"/>
                </v:rect>
                <v:rect style="position:absolute;left:8527;top:8587;width:2655;height:165" id="docshape10" filled="false" stroked="true" strokeweight=".75pt" strokecolor="#ffffff">
                  <v:stroke dashstyle="solid"/>
                </v:rect>
                <v:rect style="position:absolute;left:8535;top:8595;width:2115;height:165" id="docshape11" filled="true" fillcolor="#ffffff" stroked="false">
                  <v:fill type="solid"/>
                </v:rect>
                <v:rect style="position:absolute;left:8527;top:9367;width:2655;height:165" id="docshape12" filled="false" stroked="true" strokeweight=".75pt" strokecolor="#ffffff">
                  <v:stroke dashstyle="solid"/>
                </v:rect>
                <v:rect style="position:absolute;left:8535;top:9375;width:1590;height:165" id="docshape13" filled="true" fillcolor="#ffffff" stroked="false">
                  <v:fill type="solid"/>
                </v:rect>
                <v:rect style="position:absolute;left:8527;top:10147;width:2655;height:165" id="docshape14" filled="false" stroked="true" strokeweight=".75pt" strokecolor="#ffffff">
                  <v:stroke dashstyle="solid"/>
                </v:rect>
                <v:rect style="position:absolute;left:8535;top:10155;width:1590;height:165" id="docshape15" filled="true" fillcolor="#ffffff" stroked="false">
                  <v:fill type="solid"/>
                </v:rect>
                <v:rect style="position:absolute;left:8527;top:10927;width:2655;height:180" id="docshape16" filled="false" stroked="true" strokeweight=".75pt" strokecolor="#ffffff">
                  <v:stroke dashstyle="solid"/>
                </v:rect>
                <v:rect style="position:absolute;left:8535;top:10935;width:1590;height:165" id="docshape17" filled="true" fillcolor="#ffffff" stroked="false">
                  <v:fill type="solid"/>
                </v:rect>
                <v:rect style="position:absolute;left:8527;top:11707;width:2655;height:180" id="docshape18" filled="false" stroked="true" strokeweight=".75pt" strokecolor="#ffffff">
                  <v:stroke dashstyle="solid"/>
                </v:rect>
                <v:rect style="position:absolute;left:8535;top:11715;width:1065;height:165" id="docshape19" filled="true" fillcolor="#ffffff" stroked="false">
                  <v:fill type="solid"/>
                </v:rect>
                <v:shape style="position:absolute;left:8520;top:1590;width:2040;height:2040" type="#_x0000_t75" id="docshape20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2A98DE"/>
                                <w:spacing w:val="-2"/>
                                <w:w w:val="13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21" filled="true" fillcolor="#2a98de" stroked="false">
                <w10:anchorlock/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2A98DE"/>
                          <w:spacing w:val="-2"/>
                          <w:w w:val="130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4"/>
        <w:rPr>
          <w:sz w:val="18"/>
        </w:rPr>
      </w:pPr>
    </w:p>
    <w:p>
      <w:pPr>
        <w:spacing w:line="278" w:lineRule="auto" w:before="0"/>
        <w:ind w:left="1338" w:right="5918" w:firstLine="0"/>
        <w:jc w:val="left"/>
        <w:rPr>
          <w:rFonts w:ascii="Calibri"/>
          <w:sz w:val="18"/>
        </w:rPr>
      </w:pPr>
      <w:r>
        <w:rPr>
          <w:rFonts w:ascii="Calibri"/>
          <w:color w:val="2A98DE"/>
          <w:w w:val="130"/>
          <w:sz w:val="18"/>
        </w:rPr>
        <w:t>Associate</w:t>
      </w:r>
      <w:r>
        <w:rPr>
          <w:rFonts w:ascii="Calibri"/>
          <w:color w:val="2A98DE"/>
          <w:spacing w:val="-6"/>
          <w:w w:val="130"/>
          <w:sz w:val="18"/>
        </w:rPr>
        <w:t> </w:t>
      </w:r>
      <w:r>
        <w:rPr>
          <w:rFonts w:ascii="Calibri"/>
          <w:color w:val="2A98DE"/>
          <w:w w:val="130"/>
          <w:sz w:val="18"/>
        </w:rPr>
        <w:t>Degree</w:t>
      </w:r>
      <w:r>
        <w:rPr>
          <w:rFonts w:ascii="Calibri"/>
          <w:color w:val="2A98DE"/>
          <w:spacing w:val="-6"/>
          <w:w w:val="130"/>
          <w:sz w:val="18"/>
        </w:rPr>
        <w:t> </w:t>
      </w:r>
      <w:r>
        <w:rPr>
          <w:rFonts w:ascii="Calibri"/>
          <w:color w:val="2A98DE"/>
          <w:w w:val="130"/>
          <w:sz w:val="18"/>
        </w:rPr>
        <w:t>in</w:t>
      </w:r>
      <w:r>
        <w:rPr>
          <w:rFonts w:ascii="Calibri"/>
          <w:color w:val="2A98DE"/>
          <w:spacing w:val="-6"/>
          <w:w w:val="130"/>
          <w:sz w:val="18"/>
        </w:rPr>
        <w:t> </w:t>
      </w:r>
      <w:r>
        <w:rPr>
          <w:rFonts w:ascii="Calibri"/>
          <w:color w:val="2A98DE"/>
          <w:w w:val="130"/>
          <w:sz w:val="18"/>
        </w:rPr>
        <w:t>Ofice </w:t>
      </w:r>
      <w:r>
        <w:rPr>
          <w:rFonts w:ascii="Calibri"/>
          <w:color w:val="2A98DE"/>
          <w:spacing w:val="-2"/>
          <w:w w:val="135"/>
          <w:sz w:val="18"/>
        </w:rPr>
        <w:t>Administration</w:t>
      </w:r>
    </w:p>
    <w:p>
      <w:pPr>
        <w:pStyle w:val="BodyText"/>
        <w:spacing w:before="70"/>
        <w:ind w:left="1338"/>
      </w:pPr>
      <w:r>
        <w:rPr>
          <w:color w:val="2A98DE"/>
          <w:w w:val="105"/>
        </w:rPr>
        <w:t>Portland</w:t>
      </w:r>
      <w:r>
        <w:rPr>
          <w:color w:val="2A98DE"/>
          <w:spacing w:val="-10"/>
          <w:w w:val="105"/>
        </w:rPr>
        <w:t> </w:t>
      </w:r>
      <w:r>
        <w:rPr>
          <w:color w:val="2A98DE"/>
          <w:w w:val="105"/>
        </w:rPr>
        <w:t>Community</w:t>
      </w:r>
      <w:r>
        <w:rPr>
          <w:color w:val="2A98DE"/>
          <w:spacing w:val="-16"/>
          <w:w w:val="105"/>
        </w:rPr>
        <w:t> </w:t>
      </w:r>
      <w:r>
        <w:rPr>
          <w:color w:val="2A98DE"/>
          <w:spacing w:val="-2"/>
          <w:w w:val="105"/>
        </w:rPr>
        <w:t>College</w:t>
      </w:r>
    </w:p>
    <w:p>
      <w:pPr>
        <w:pStyle w:val="BodyText"/>
        <w:spacing w:before="30"/>
        <w:ind w:left="1338"/>
      </w:pPr>
      <w:r>
        <w:rPr>
          <w:color w:val="2A98DE"/>
          <w:w w:val="85"/>
        </w:rPr>
        <w:t>|</w:t>
      </w:r>
      <w:r>
        <w:rPr>
          <w:color w:val="2A98DE"/>
          <w:spacing w:val="-7"/>
        </w:rPr>
        <w:t> </w:t>
      </w:r>
      <w:r>
        <w:rPr>
          <w:color w:val="2A98DE"/>
        </w:rPr>
        <w:t>Graduated:</w:t>
      </w:r>
      <w:r>
        <w:rPr>
          <w:color w:val="2A98DE"/>
          <w:spacing w:val="-7"/>
        </w:rPr>
        <w:t> </w:t>
      </w:r>
      <w:r>
        <w:rPr>
          <w:color w:val="2A98DE"/>
        </w:rPr>
        <w:t>May</w:t>
      </w:r>
      <w:r>
        <w:rPr>
          <w:color w:val="2A98DE"/>
          <w:spacing w:val="-14"/>
        </w:rPr>
        <w:t> </w:t>
      </w:r>
      <w:r>
        <w:rPr>
          <w:color w:val="2A98DE"/>
          <w:spacing w:val="-4"/>
        </w:rPr>
        <w:t>2017</w:t>
      </w:r>
    </w:p>
    <w:sectPr>
      <w:type w:val="continuous"/>
      <w:pgSz w:w="11920" w:h="16860"/>
      <w:pgMar w:top="1240" w:bottom="280" w:left="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33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2025-10-16T19:37:11Z</dcterms:created>
  <dcterms:modified xsi:type="dcterms:W3CDTF">2025-10-16T19:37:11Z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