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60"/>
        <w:rPr>
          <w:rFonts w:ascii="Times New Roman"/>
          <w:sz w:val="26"/>
        </w:rPr>
      </w:pPr>
    </w:p>
    <w:p>
      <w:pPr>
        <w:pStyle w:val="Heading1"/>
        <w:ind w:left="269"/>
        <w:jc w:val="center"/>
      </w:pPr>
      <w:r>
        <w:rPr>
          <w:color w:val="2BD879"/>
          <w:spacing w:val="-2"/>
        </w:rPr>
        <w:t>Professional</w:t>
      </w:r>
      <w:r>
        <w:rPr>
          <w:color w:val="2BD879"/>
          <w:spacing w:val="2"/>
        </w:rPr>
        <w:t> </w:t>
      </w:r>
      <w:r>
        <w:rPr>
          <w:color w:val="2BD879"/>
          <w:spacing w:val="-2"/>
        </w:rPr>
        <w:t>Experience</w:t>
      </w:r>
    </w:p>
    <w:p>
      <w:pPr>
        <w:pStyle w:val="BodyText"/>
        <w:spacing w:before="26"/>
        <w:rPr>
          <w:rFonts w:ascii="Arial"/>
          <w:b/>
        </w:rPr>
      </w:pPr>
    </w:p>
    <w:p>
      <w:pPr>
        <w:pStyle w:val="Heading2"/>
        <w:ind w:left="4429"/>
        <w:rPr>
          <w:rFonts w:ascii="Arial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2762249</wp:posOffset>
                </wp:positionH>
                <wp:positionV relativeFrom="paragraph">
                  <wp:posOffset>35875</wp:posOffset>
                </wp:positionV>
                <wp:extent cx="95250" cy="19907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0" cy="1990725"/>
                          <a:chExt cx="95250" cy="19907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7625" y="28574"/>
                            <a:ext cx="952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905000">
                                <a:moveTo>
                                  <a:pt x="9524" y="1904999"/>
                                </a:moveTo>
                                <a:lnTo>
                                  <a:pt x="0" y="19049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954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17.499954pt;margin-top:2.824878pt;width:7.5pt;height:156.75pt;mso-position-horizontal-relative:page;mso-position-vertical-relative:paragraph;z-index:15729152" id="docshapegroup1" coordorigin="4350,56" coordsize="150,3135">
                <v:rect style="position:absolute;left:4425;top:101;width:15;height:3000" id="docshape2" filled="true" fillcolor="#f1f4f4" stroked="false">
                  <v:fill type="solid"/>
                </v:rect>
                <v:shape style="position:absolute;left:4350;top:56;width:150;height:135" type="#_x0000_t75" id="docshape3" stroked="false">
                  <v:imagedata r:id="rId5" o:title=""/>
                </v:shape>
                <v:shape style="position:absolute;left:4350;top:3041;width:150;height:150" type="#_x0000_t75" id="docshape4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rFonts w:ascii="Arial"/>
          <w:color w:val="58585B"/>
          <w:w w:val="105"/>
        </w:rPr>
        <w:t>Director</w:t>
      </w:r>
      <w:r>
        <w:rPr>
          <w:rFonts w:ascii="Arial"/>
          <w:color w:val="58585B"/>
          <w:spacing w:val="-14"/>
          <w:w w:val="105"/>
        </w:rPr>
        <w:t> </w:t>
      </w:r>
      <w:r>
        <w:rPr>
          <w:rFonts w:ascii="Arial"/>
          <w:color w:val="58585B"/>
          <w:w w:val="105"/>
        </w:rPr>
        <w:t>of</w:t>
      </w:r>
      <w:r>
        <w:rPr>
          <w:rFonts w:ascii="Arial"/>
          <w:color w:val="58585B"/>
          <w:spacing w:val="-13"/>
          <w:w w:val="105"/>
        </w:rPr>
        <w:t> </w:t>
      </w:r>
      <w:r>
        <w:rPr>
          <w:rFonts w:ascii="Arial"/>
          <w:color w:val="58585B"/>
          <w:w w:val="105"/>
        </w:rPr>
        <w:t>Property</w:t>
      </w:r>
      <w:r>
        <w:rPr>
          <w:rFonts w:ascii="Arial"/>
          <w:color w:val="58585B"/>
          <w:spacing w:val="-13"/>
          <w:w w:val="105"/>
        </w:rPr>
        <w:t> </w:t>
      </w:r>
      <w:r>
        <w:rPr>
          <w:rFonts w:ascii="Arial"/>
          <w:color w:val="58585B"/>
          <w:spacing w:val="-2"/>
          <w:w w:val="105"/>
        </w:rPr>
        <w:t>Management</w:t>
      </w:r>
    </w:p>
    <w:p>
      <w:pPr>
        <w:spacing w:before="137"/>
        <w:ind w:left="4429" w:right="0" w:firstLine="0"/>
        <w:jc w:val="left"/>
        <w:rPr>
          <w:i/>
          <w:sz w:val="22"/>
        </w:rPr>
      </w:pPr>
      <w:r>
        <w:rPr>
          <w:i/>
          <w:color w:val="58585B"/>
          <w:w w:val="95"/>
          <w:sz w:val="22"/>
        </w:rPr>
        <w:t>Clarendon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w w:val="95"/>
          <w:sz w:val="22"/>
        </w:rPr>
        <w:t>Real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w w:val="95"/>
          <w:sz w:val="22"/>
        </w:rPr>
        <w:t>Estate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w w:val="95"/>
          <w:sz w:val="22"/>
        </w:rPr>
        <w:t>Group,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w w:val="95"/>
          <w:sz w:val="22"/>
        </w:rPr>
        <w:t>Boston,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w w:val="95"/>
          <w:sz w:val="22"/>
        </w:rPr>
        <w:t>MA</w:t>
      </w:r>
      <w:r>
        <w:rPr>
          <w:i/>
          <w:color w:val="58585B"/>
          <w:spacing w:val="-1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w w:val="95"/>
          <w:sz w:val="22"/>
        </w:rPr>
        <w:t>August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w w:val="95"/>
          <w:sz w:val="22"/>
        </w:rPr>
        <w:t>2017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w w:val="95"/>
          <w:sz w:val="22"/>
        </w:rPr>
        <w:t>-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Present</w:t>
      </w:r>
    </w:p>
    <w:p>
      <w:pPr>
        <w:pStyle w:val="BodyText"/>
        <w:spacing w:before="5"/>
        <w:rPr>
          <w:i/>
          <w:sz w:val="18"/>
        </w:rPr>
      </w:pPr>
    </w:p>
    <w:p>
      <w:pPr>
        <w:spacing w:after="0"/>
        <w:rPr>
          <w:sz w:val="18"/>
        </w:rPr>
        <w:sectPr>
          <w:type w:val="continuous"/>
          <w:pgSz w:w="11920" w:h="16860"/>
          <w:pgMar w:top="0" w:bottom="0" w:left="220" w:right="700"/>
        </w:sectPr>
      </w:pPr>
    </w:p>
    <w:p>
      <w:pPr>
        <w:pStyle w:val="Title"/>
      </w:pPr>
      <w:r>
        <w:rPr>
          <w:color w:val="2BD879"/>
          <w:spacing w:val="-6"/>
        </w:rPr>
        <w:t>Reese</w:t>
      </w:r>
      <w:r>
        <w:rPr>
          <w:color w:val="2BD879"/>
          <w:spacing w:val="-34"/>
        </w:rPr>
        <w:t> </w:t>
      </w:r>
      <w:r>
        <w:rPr>
          <w:color w:val="2BD879"/>
          <w:spacing w:val="-4"/>
        </w:rPr>
        <w:t>King</w:t>
      </w:r>
    </w:p>
    <w:p>
      <w:pPr>
        <w:spacing w:line="285" w:lineRule="auto" w:before="196"/>
        <w:ind w:left="114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58585B"/>
          <w:w w:val="105"/>
          <w:sz w:val="33"/>
        </w:rPr>
        <w:t>Director</w:t>
      </w:r>
      <w:r>
        <w:rPr>
          <w:rFonts w:ascii="Arial"/>
          <w:b/>
          <w:color w:val="58585B"/>
          <w:spacing w:val="-22"/>
          <w:w w:val="105"/>
          <w:sz w:val="33"/>
        </w:rPr>
        <w:t> </w:t>
      </w:r>
      <w:r>
        <w:rPr>
          <w:rFonts w:ascii="Arial"/>
          <w:b/>
          <w:color w:val="58585B"/>
          <w:w w:val="105"/>
          <w:sz w:val="33"/>
        </w:rPr>
        <w:t>of</w:t>
      </w:r>
      <w:r>
        <w:rPr>
          <w:rFonts w:ascii="Arial"/>
          <w:b/>
          <w:color w:val="58585B"/>
          <w:spacing w:val="-22"/>
          <w:w w:val="105"/>
          <w:sz w:val="33"/>
        </w:rPr>
        <w:t> </w:t>
      </w:r>
      <w:r>
        <w:rPr>
          <w:rFonts w:ascii="Arial"/>
          <w:b/>
          <w:color w:val="58585B"/>
          <w:w w:val="105"/>
          <w:sz w:val="33"/>
        </w:rPr>
        <w:t>Property </w:t>
      </w:r>
      <w:r>
        <w:rPr>
          <w:rFonts w:ascii="Arial"/>
          <w:b/>
          <w:color w:val="58585B"/>
          <w:spacing w:val="-2"/>
          <w:w w:val="105"/>
          <w:sz w:val="33"/>
        </w:rPr>
        <w:t>Management</w:t>
      </w:r>
    </w:p>
    <w:p>
      <w:pPr>
        <w:pStyle w:val="BodyText"/>
        <w:spacing w:line="280" w:lineRule="auto" w:before="145"/>
        <w:ind w:left="114" w:right="584"/>
      </w:pPr>
      <w:r>
        <w:rPr>
          <w:color w:val="58585B"/>
        </w:rPr>
        <w:t>City, ST </w:t>
      </w:r>
      <w:hyperlink r:id="rId7">
        <w:r>
          <w:rPr>
            <w:color w:val="58585B"/>
            <w:spacing w:val="-2"/>
          </w:rPr>
          <w:t>email@example.com</w:t>
        </w:r>
      </w:hyperlink>
    </w:p>
    <w:p>
      <w:pPr>
        <w:pStyle w:val="BodyText"/>
        <w:spacing w:before="2"/>
        <w:ind w:left="114"/>
      </w:pPr>
      <w:r>
        <w:rPr>
          <w:color w:val="58585B"/>
        </w:rPr>
        <w:t>(123)</w:t>
      </w:r>
      <w:r>
        <w:rPr>
          <w:color w:val="58585B"/>
          <w:spacing w:val="7"/>
        </w:rPr>
        <w:t> </w:t>
      </w:r>
      <w:r>
        <w:rPr>
          <w:color w:val="58585B"/>
        </w:rPr>
        <w:t>456-</w:t>
      </w:r>
      <w:r>
        <w:rPr>
          <w:color w:val="58585B"/>
          <w:spacing w:val="-4"/>
        </w:rPr>
        <w:t>7890</w:t>
      </w:r>
    </w:p>
    <w:p>
      <w:pPr>
        <w:pStyle w:val="BodyText"/>
        <w:spacing w:before="59"/>
      </w:pPr>
    </w:p>
    <w:p>
      <w:pPr>
        <w:pStyle w:val="Heading2"/>
        <w:spacing w:line="276" w:lineRule="auto"/>
      </w:pPr>
      <w:r>
        <w:rPr>
          <w:color w:val="58585B"/>
        </w:rPr>
        <w:t>Senior Property Executive </w:t>
      </w:r>
      <w:r>
        <w:rPr>
          <w:color w:val="58585B"/>
          <w:spacing w:val="-4"/>
        </w:rPr>
        <w:t>with</w:t>
      </w:r>
      <w:r>
        <w:rPr>
          <w:color w:val="58585B"/>
          <w:spacing w:val="-13"/>
        </w:rPr>
        <w:t> </w:t>
      </w:r>
      <w:r>
        <w:rPr>
          <w:color w:val="58585B"/>
          <w:spacing w:val="-4"/>
        </w:rPr>
        <w:t>multi-site</w:t>
      </w:r>
      <w:r>
        <w:rPr>
          <w:color w:val="58585B"/>
          <w:spacing w:val="-13"/>
        </w:rPr>
        <w:t> </w:t>
      </w:r>
      <w:r>
        <w:rPr>
          <w:color w:val="58585B"/>
          <w:spacing w:val="-4"/>
        </w:rPr>
        <w:t>leadership</w:t>
      </w:r>
      <w:r>
        <w:rPr>
          <w:color w:val="58585B"/>
          <w:spacing w:val="-12"/>
        </w:rPr>
        <w:t> </w:t>
      </w:r>
      <w:r>
        <w:rPr>
          <w:color w:val="58585B"/>
          <w:spacing w:val="-4"/>
        </w:rPr>
        <w:t>and </w:t>
      </w:r>
      <w:r>
        <w:rPr>
          <w:color w:val="58585B"/>
        </w:rPr>
        <w:t>strategic development </w:t>
      </w:r>
      <w:r>
        <w:rPr>
          <w:color w:val="58585B"/>
          <w:spacing w:val="-2"/>
        </w:rPr>
        <w:t>experience</w:t>
      </w:r>
    </w:p>
    <w:p>
      <w:pPr>
        <w:pStyle w:val="BodyText"/>
        <w:spacing w:line="278" w:lineRule="auto" w:before="130"/>
        <w:ind w:left="405" w:right="38"/>
      </w:pPr>
      <w:r>
        <w:rPr>
          <w:color w:val="58585B"/>
        </w:rPr>
        <w:t>15</w:t>
      </w:r>
      <w:r>
        <w:rPr>
          <w:color w:val="58585B"/>
          <w:spacing w:val="-12"/>
        </w:rPr>
        <w:t> </w:t>
      </w:r>
      <w:r>
        <w:rPr>
          <w:color w:val="58585B"/>
        </w:rPr>
        <w:t>years</w:t>
      </w:r>
      <w:r>
        <w:rPr>
          <w:color w:val="58585B"/>
          <w:spacing w:val="-12"/>
        </w:rPr>
        <w:t> </w:t>
      </w:r>
      <w:r>
        <w:rPr>
          <w:color w:val="58585B"/>
        </w:rPr>
        <w:t>of</w:t>
      </w:r>
      <w:r>
        <w:rPr>
          <w:color w:val="58585B"/>
          <w:spacing w:val="-12"/>
        </w:rPr>
        <w:t> </w:t>
      </w:r>
      <w:r>
        <w:rPr>
          <w:color w:val="58585B"/>
        </w:rPr>
        <w:t>experience</w:t>
      </w:r>
      <w:r>
        <w:rPr>
          <w:color w:val="58585B"/>
          <w:spacing w:val="-12"/>
        </w:rPr>
        <w:t> </w:t>
      </w:r>
      <w:r>
        <w:rPr>
          <w:color w:val="58585B"/>
        </w:rPr>
        <w:t>leading large residential and commercial portfolios. Skilled in operations strategy, financial performance, and cross-functional team </w:t>
      </w:r>
      <w:r>
        <w:rPr>
          <w:color w:val="58585B"/>
          <w:spacing w:val="-2"/>
        </w:rPr>
        <w:t>leadership.</w:t>
      </w:r>
    </w:p>
    <w:p>
      <w:pPr>
        <w:pStyle w:val="BodyText"/>
      </w:pPr>
    </w:p>
    <w:p>
      <w:pPr>
        <w:pStyle w:val="BodyText"/>
        <w:spacing w:before="32"/>
      </w:pPr>
    </w:p>
    <w:p>
      <w:pPr>
        <w:pStyle w:val="Heading1"/>
      </w:pPr>
      <w:r>
        <w:rPr>
          <w:color w:val="2BD879"/>
          <w:spacing w:val="-5"/>
        </w:rPr>
        <w:t>Key</w:t>
      </w:r>
      <w:r>
        <w:rPr>
          <w:color w:val="2BD879"/>
          <w:spacing w:val="-13"/>
        </w:rPr>
        <w:t> </w:t>
      </w:r>
      <w:r>
        <w:rPr>
          <w:color w:val="2BD879"/>
          <w:spacing w:val="-2"/>
        </w:rPr>
        <w:t>Skills</w:t>
      </w:r>
    </w:p>
    <w:p>
      <w:pPr>
        <w:pStyle w:val="BodyText"/>
        <w:tabs>
          <w:tab w:pos="783" w:val="left" w:leader="none"/>
        </w:tabs>
        <w:spacing w:before="100"/>
        <w:ind w:left="427"/>
      </w:pPr>
      <w:r>
        <w:rPr/>
        <w:br w:type="column"/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Lead</w:t>
      </w:r>
      <w:r>
        <w:rPr>
          <w:color w:val="58585B"/>
          <w:spacing w:val="-6"/>
        </w:rPr>
        <w:t> </w:t>
      </w:r>
      <w:r>
        <w:rPr>
          <w:color w:val="58585B"/>
        </w:rPr>
        <w:t>portfolio</w:t>
      </w:r>
      <w:r>
        <w:rPr>
          <w:color w:val="58585B"/>
          <w:spacing w:val="-5"/>
        </w:rPr>
        <w:t> </w:t>
      </w:r>
      <w:r>
        <w:rPr>
          <w:color w:val="58585B"/>
        </w:rPr>
        <w:t>of</w:t>
      </w:r>
      <w:r>
        <w:rPr>
          <w:color w:val="58585B"/>
          <w:spacing w:val="-6"/>
        </w:rPr>
        <w:t> </w:t>
      </w:r>
      <w:r>
        <w:rPr>
          <w:color w:val="58585B"/>
        </w:rPr>
        <w:t>2,500+</w:t>
      </w:r>
      <w:r>
        <w:rPr>
          <w:color w:val="58585B"/>
          <w:spacing w:val="-5"/>
        </w:rPr>
        <w:t> </w:t>
      </w:r>
      <w:r>
        <w:rPr>
          <w:color w:val="58585B"/>
        </w:rPr>
        <w:t>units</w:t>
      </w:r>
      <w:r>
        <w:rPr>
          <w:color w:val="58585B"/>
          <w:spacing w:val="-5"/>
        </w:rPr>
        <w:t> </w:t>
      </w:r>
      <w:r>
        <w:rPr>
          <w:color w:val="58585B"/>
        </w:rPr>
        <w:t>across</w:t>
      </w:r>
      <w:r>
        <w:rPr>
          <w:color w:val="58585B"/>
          <w:spacing w:val="-6"/>
        </w:rPr>
        <w:t> </w:t>
      </w:r>
      <w:r>
        <w:rPr>
          <w:color w:val="58585B"/>
        </w:rPr>
        <w:t>7</w:t>
      </w:r>
      <w:r>
        <w:rPr>
          <w:color w:val="58585B"/>
          <w:spacing w:val="-5"/>
        </w:rPr>
        <w:t> </w:t>
      </w:r>
      <w:r>
        <w:rPr>
          <w:color w:val="58585B"/>
        </w:rPr>
        <w:t>regional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offices</w:t>
      </w:r>
    </w:p>
    <w:p>
      <w:pPr>
        <w:pStyle w:val="BodyText"/>
        <w:tabs>
          <w:tab w:pos="783" w:val="left" w:leader="none"/>
        </w:tabs>
        <w:spacing w:line="280" w:lineRule="auto" w:before="135"/>
        <w:ind w:left="784" w:right="738" w:hanging="35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Increased NOI by 18% over 3 years through streamlined maintenance and lease optimization</w:t>
      </w:r>
    </w:p>
    <w:p>
      <w:pPr>
        <w:pStyle w:val="BodyText"/>
        <w:tabs>
          <w:tab w:pos="783" w:val="left" w:leader="none"/>
        </w:tabs>
        <w:spacing w:line="280" w:lineRule="auto" w:before="92"/>
        <w:ind w:left="784" w:right="530" w:hanging="357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Supervise 12 regional managers and oversee training and </w:t>
      </w:r>
      <w:r>
        <w:rPr>
          <w:color w:val="58585B"/>
          <w:spacing w:val="-2"/>
        </w:rPr>
        <w:t>compliance</w:t>
      </w:r>
    </w:p>
    <w:p>
      <w:pPr>
        <w:pStyle w:val="BodyText"/>
        <w:spacing w:before="92"/>
      </w:pPr>
    </w:p>
    <w:p>
      <w:pPr>
        <w:pStyle w:val="Heading2"/>
        <w:ind w:left="412"/>
        <w:rPr>
          <w:rFonts w:ascii="Arial"/>
        </w:rPr>
      </w:pPr>
      <w:r>
        <w:rPr>
          <w:rFonts w:ascii="Arial"/>
          <w:color w:val="58585B"/>
        </w:rPr>
        <w:t>Regional</w:t>
      </w:r>
      <w:r>
        <w:rPr>
          <w:rFonts w:ascii="Arial"/>
          <w:color w:val="58585B"/>
          <w:spacing w:val="6"/>
        </w:rPr>
        <w:t> </w:t>
      </w:r>
      <w:r>
        <w:rPr>
          <w:rFonts w:ascii="Arial"/>
          <w:color w:val="58585B"/>
        </w:rPr>
        <w:t>Property</w:t>
      </w:r>
      <w:r>
        <w:rPr>
          <w:rFonts w:ascii="Arial"/>
          <w:color w:val="58585B"/>
          <w:spacing w:val="6"/>
        </w:rPr>
        <w:t> </w:t>
      </w:r>
      <w:r>
        <w:rPr>
          <w:rFonts w:ascii="Arial"/>
          <w:color w:val="58585B"/>
          <w:spacing w:val="-2"/>
        </w:rPr>
        <w:t>Manager</w:t>
      </w:r>
    </w:p>
    <w:p>
      <w:pPr>
        <w:spacing w:before="137"/>
        <w:ind w:left="412" w:right="0" w:firstLine="0"/>
        <w:jc w:val="left"/>
        <w:rPr>
          <w:i/>
          <w:sz w:val="22"/>
        </w:rPr>
      </w:pPr>
      <w:r>
        <w:rPr>
          <w:i/>
          <w:color w:val="58585B"/>
          <w:w w:val="95"/>
          <w:sz w:val="22"/>
        </w:rPr>
        <w:t>Dalton</w:t>
      </w:r>
      <w:r>
        <w:rPr>
          <w:i/>
          <w:color w:val="58585B"/>
          <w:sz w:val="22"/>
        </w:rPr>
        <w:t> </w:t>
      </w:r>
      <w:r>
        <w:rPr>
          <w:i/>
          <w:color w:val="58585B"/>
          <w:w w:val="95"/>
          <w:sz w:val="22"/>
        </w:rPr>
        <w:t>Communities,</w:t>
      </w:r>
      <w:r>
        <w:rPr>
          <w:i/>
          <w:color w:val="58585B"/>
          <w:sz w:val="22"/>
        </w:rPr>
        <w:t> </w:t>
      </w:r>
      <w:r>
        <w:rPr>
          <w:i/>
          <w:color w:val="58585B"/>
          <w:w w:val="95"/>
          <w:sz w:val="22"/>
        </w:rPr>
        <w:t>Boston,</w:t>
      </w:r>
      <w:r>
        <w:rPr>
          <w:i/>
          <w:color w:val="58585B"/>
          <w:sz w:val="22"/>
        </w:rPr>
        <w:t> </w:t>
      </w:r>
      <w:r>
        <w:rPr>
          <w:i/>
          <w:color w:val="58585B"/>
          <w:w w:val="95"/>
          <w:sz w:val="22"/>
        </w:rPr>
        <w:t>MA</w:t>
      </w:r>
      <w:r>
        <w:rPr>
          <w:i/>
          <w:color w:val="58585B"/>
          <w:spacing w:val="1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z w:val="22"/>
        </w:rPr>
        <w:t> </w:t>
      </w:r>
      <w:r>
        <w:rPr>
          <w:i/>
          <w:color w:val="58585B"/>
          <w:w w:val="95"/>
          <w:sz w:val="22"/>
        </w:rPr>
        <w:t>May</w:t>
      </w:r>
      <w:r>
        <w:rPr>
          <w:i/>
          <w:color w:val="58585B"/>
          <w:sz w:val="22"/>
        </w:rPr>
        <w:t> </w:t>
      </w:r>
      <w:r>
        <w:rPr>
          <w:i/>
          <w:color w:val="58585B"/>
          <w:w w:val="95"/>
          <w:sz w:val="22"/>
        </w:rPr>
        <w:t>2012</w:t>
      </w:r>
      <w:r>
        <w:rPr>
          <w:i/>
          <w:color w:val="58585B"/>
          <w:sz w:val="22"/>
        </w:rPr>
        <w:t> </w:t>
      </w:r>
      <w:r>
        <w:rPr>
          <w:i/>
          <w:color w:val="58585B"/>
          <w:w w:val="95"/>
          <w:sz w:val="22"/>
        </w:rPr>
        <w:t>-</w:t>
      </w:r>
      <w:r>
        <w:rPr>
          <w:i/>
          <w:color w:val="58585B"/>
          <w:spacing w:val="1"/>
          <w:sz w:val="22"/>
        </w:rPr>
        <w:t> </w:t>
      </w:r>
      <w:r>
        <w:rPr>
          <w:i/>
          <w:color w:val="58585B"/>
          <w:w w:val="95"/>
          <w:sz w:val="22"/>
        </w:rPr>
        <w:t>July</w:t>
      </w:r>
      <w:r>
        <w:rPr>
          <w:i/>
          <w:color w:val="58585B"/>
          <w:sz w:val="22"/>
        </w:rPr>
        <w:t> </w:t>
      </w:r>
      <w:r>
        <w:rPr>
          <w:i/>
          <w:color w:val="58585B"/>
          <w:spacing w:val="-4"/>
          <w:w w:val="95"/>
          <w:sz w:val="22"/>
        </w:rPr>
        <w:t>2017</w:t>
      </w:r>
    </w:p>
    <w:p>
      <w:pPr>
        <w:pStyle w:val="BodyText"/>
        <w:spacing w:before="74"/>
        <w:rPr>
          <w:i/>
        </w:rPr>
      </w:pPr>
    </w:p>
    <w:p>
      <w:pPr>
        <w:pStyle w:val="BodyText"/>
        <w:tabs>
          <w:tab w:pos="783" w:val="left" w:leader="none"/>
        </w:tabs>
        <w:spacing w:line="280" w:lineRule="auto"/>
        <w:ind w:left="784" w:right="110" w:hanging="35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Oversaw 800-unit portfolio and developed KPI dashboards for </w:t>
      </w:r>
      <w:r>
        <w:rPr>
          <w:color w:val="58585B"/>
          <w:spacing w:val="-2"/>
        </w:rPr>
        <w:t>operations</w:t>
      </w:r>
    </w:p>
    <w:p>
      <w:pPr>
        <w:pStyle w:val="BodyText"/>
        <w:tabs>
          <w:tab w:pos="783" w:val="left" w:leader="none"/>
        </w:tabs>
        <w:spacing w:line="268" w:lineRule="auto" w:before="92"/>
        <w:ind w:left="784" w:right="121" w:hanging="35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Increased</w:t>
      </w:r>
      <w:r>
        <w:rPr>
          <w:color w:val="58585B"/>
          <w:spacing w:val="-13"/>
        </w:rPr>
        <w:t> </w:t>
      </w:r>
      <w:r>
        <w:rPr>
          <w:color w:val="58585B"/>
        </w:rPr>
        <w:t>tenant</w:t>
      </w:r>
      <w:r>
        <w:rPr>
          <w:color w:val="58585B"/>
          <w:spacing w:val="-13"/>
        </w:rPr>
        <w:t> </w:t>
      </w:r>
      <w:r>
        <w:rPr>
          <w:color w:val="58585B"/>
        </w:rPr>
        <w:t>retention</w:t>
      </w:r>
      <w:r>
        <w:rPr>
          <w:color w:val="58585B"/>
          <w:spacing w:val="-13"/>
        </w:rPr>
        <w:t> </w:t>
      </w:r>
      <w:r>
        <w:rPr>
          <w:color w:val="58585B"/>
        </w:rPr>
        <w:t>by</w:t>
      </w:r>
      <w:r>
        <w:rPr>
          <w:color w:val="58585B"/>
          <w:spacing w:val="-13"/>
        </w:rPr>
        <w:t> </w:t>
      </w:r>
      <w:r>
        <w:rPr>
          <w:color w:val="58585B"/>
        </w:rPr>
        <w:t>22%</w:t>
      </w:r>
      <w:r>
        <w:rPr>
          <w:color w:val="58585B"/>
          <w:spacing w:val="-13"/>
        </w:rPr>
        <w:t> </w:t>
      </w:r>
      <w:r>
        <w:rPr>
          <w:color w:val="58585B"/>
        </w:rPr>
        <w:t>through</w:t>
      </w:r>
      <w:r>
        <w:rPr>
          <w:color w:val="58585B"/>
          <w:spacing w:val="-13"/>
        </w:rPr>
        <w:t> </w:t>
      </w:r>
      <w:r>
        <w:rPr>
          <w:color w:val="58585B"/>
        </w:rPr>
        <w:t>a</w:t>
      </w:r>
      <w:r>
        <w:rPr>
          <w:color w:val="58585B"/>
          <w:spacing w:val="-13"/>
        </w:rPr>
        <w:t> </w:t>
      </w:r>
      <w:r>
        <w:rPr>
          <w:color w:val="58585B"/>
        </w:rPr>
        <w:t>centralized</w:t>
      </w:r>
      <w:r>
        <w:rPr>
          <w:color w:val="58585B"/>
          <w:spacing w:val="-13"/>
        </w:rPr>
        <w:t> </w:t>
      </w:r>
      <w:r>
        <w:rPr>
          <w:color w:val="58585B"/>
        </w:rPr>
        <w:t>lease renewal system</w:t>
      </w:r>
    </w:p>
    <w:p>
      <w:pPr>
        <w:pStyle w:val="BodyText"/>
      </w:pPr>
    </w:p>
    <w:p>
      <w:pPr>
        <w:pStyle w:val="BodyText"/>
        <w:spacing w:before="35"/>
      </w:pPr>
    </w:p>
    <w:p>
      <w:pPr>
        <w:pStyle w:val="Heading1"/>
      </w:pPr>
      <w:r>
        <w:rPr>
          <w:color w:val="2BD879"/>
          <w:spacing w:val="-2"/>
        </w:rPr>
        <w:t>Education</w:t>
      </w:r>
    </w:p>
    <w:p>
      <w:pPr>
        <w:pStyle w:val="BodyText"/>
        <w:tabs>
          <w:tab w:pos="1908" w:val="left" w:leader="none"/>
        </w:tabs>
        <w:spacing w:before="268"/>
        <w:ind w:left="114"/>
        <w:rPr>
          <w:rFonts w:ascii="Microsoft Sans Serif"/>
        </w:rPr>
      </w:pPr>
      <w:r>
        <w:rPr>
          <w:i/>
          <w:color w:val="58585B"/>
          <w:spacing w:val="-2"/>
          <w:w w:val="105"/>
          <w:position w:val="1"/>
        </w:rPr>
        <w:t>May</w:t>
      </w:r>
      <w:r>
        <w:rPr>
          <w:i/>
          <w:color w:val="58585B"/>
          <w:spacing w:val="-14"/>
          <w:w w:val="105"/>
          <w:position w:val="1"/>
        </w:rPr>
        <w:t> </w:t>
      </w:r>
      <w:r>
        <w:rPr>
          <w:i/>
          <w:color w:val="58585B"/>
          <w:spacing w:val="-4"/>
          <w:w w:val="110"/>
          <w:position w:val="1"/>
        </w:rPr>
        <w:t>2011</w:t>
      </w:r>
      <w:r>
        <w:rPr>
          <w:i/>
          <w:color w:val="58585B"/>
          <w:position w:val="1"/>
        </w:rPr>
        <w:tab/>
      </w:r>
      <w:r>
        <w:rPr>
          <w:rFonts w:ascii="Microsoft Sans Serif"/>
          <w:color w:val="58585B"/>
          <w:spacing w:val="-2"/>
          <w:w w:val="105"/>
        </w:rPr>
        <w:t>Master</w:t>
      </w:r>
      <w:r>
        <w:rPr>
          <w:rFonts w:ascii="Microsoft Sans Serif"/>
          <w:color w:val="58585B"/>
          <w:spacing w:val="-4"/>
          <w:w w:val="105"/>
        </w:rPr>
        <w:t> </w:t>
      </w:r>
      <w:r>
        <w:rPr>
          <w:rFonts w:ascii="Microsoft Sans Serif"/>
          <w:color w:val="58585B"/>
          <w:spacing w:val="-2"/>
          <w:w w:val="105"/>
        </w:rPr>
        <w:t>of</w:t>
      </w:r>
      <w:r>
        <w:rPr>
          <w:rFonts w:ascii="Microsoft Sans Serif"/>
          <w:color w:val="58585B"/>
          <w:spacing w:val="-4"/>
          <w:w w:val="105"/>
        </w:rPr>
        <w:t> </w:t>
      </w:r>
      <w:r>
        <w:rPr>
          <w:rFonts w:ascii="Microsoft Sans Serif"/>
          <w:color w:val="58585B"/>
          <w:spacing w:val="-2"/>
          <w:w w:val="105"/>
        </w:rPr>
        <w:t>Business</w:t>
      </w:r>
      <w:r>
        <w:rPr>
          <w:rFonts w:ascii="Microsoft Sans Serif"/>
          <w:color w:val="58585B"/>
          <w:spacing w:val="-4"/>
          <w:w w:val="105"/>
        </w:rPr>
        <w:t> </w:t>
      </w:r>
      <w:r>
        <w:rPr>
          <w:rFonts w:ascii="Microsoft Sans Serif"/>
          <w:color w:val="58585B"/>
          <w:spacing w:val="-2"/>
          <w:w w:val="105"/>
        </w:rPr>
        <w:t>Administration</w:t>
      </w:r>
      <w:r>
        <w:rPr>
          <w:rFonts w:ascii="Microsoft Sans Serif"/>
          <w:color w:val="58585B"/>
          <w:spacing w:val="-3"/>
          <w:w w:val="105"/>
        </w:rPr>
        <w:t> </w:t>
      </w:r>
      <w:r>
        <w:rPr>
          <w:rFonts w:ascii="Microsoft Sans Serif"/>
          <w:color w:val="58585B"/>
          <w:spacing w:val="-2"/>
          <w:w w:val="105"/>
        </w:rPr>
        <w:t>(MBA)</w:t>
      </w:r>
    </w:p>
    <w:p>
      <w:pPr>
        <w:spacing w:before="152"/>
        <w:ind w:left="1909" w:right="0" w:firstLine="0"/>
        <w:jc w:val="left"/>
        <w:rPr>
          <w:i/>
          <w:sz w:val="22"/>
        </w:rPr>
      </w:pPr>
      <w:r>
        <w:rPr>
          <w:i/>
          <w:color w:val="58585B"/>
          <w:spacing w:val="-5"/>
          <w:sz w:val="22"/>
        </w:rPr>
        <w:t>Northeastern</w:t>
      </w:r>
      <w:r>
        <w:rPr>
          <w:i/>
          <w:color w:val="58585B"/>
          <w:spacing w:val="1"/>
          <w:sz w:val="22"/>
        </w:rPr>
        <w:t> </w:t>
      </w:r>
      <w:r>
        <w:rPr>
          <w:i/>
          <w:color w:val="58585B"/>
          <w:spacing w:val="-2"/>
          <w:sz w:val="22"/>
        </w:rPr>
        <w:t>University</w:t>
      </w:r>
    </w:p>
    <w:p>
      <w:pPr>
        <w:pStyle w:val="BodyText"/>
        <w:rPr>
          <w:i/>
        </w:rPr>
      </w:pPr>
    </w:p>
    <w:p>
      <w:pPr>
        <w:pStyle w:val="BodyText"/>
        <w:spacing w:before="94"/>
        <w:rPr>
          <w:i/>
        </w:rPr>
      </w:pPr>
    </w:p>
    <w:p>
      <w:pPr>
        <w:pStyle w:val="BodyText"/>
        <w:tabs>
          <w:tab w:pos="1908" w:val="left" w:leader="none"/>
        </w:tabs>
        <w:ind w:left="114"/>
        <w:rPr>
          <w:rFonts w:ascii="Microsoft Sans Serif"/>
        </w:rPr>
      </w:pPr>
      <w:r>
        <w:rPr>
          <w:i/>
          <w:color w:val="58585B"/>
          <w:position w:val="1"/>
        </w:rPr>
        <w:t>May</w:t>
      </w:r>
      <w:r>
        <w:rPr>
          <w:i/>
          <w:color w:val="58585B"/>
          <w:spacing w:val="3"/>
          <w:position w:val="1"/>
        </w:rPr>
        <w:t> </w:t>
      </w:r>
      <w:r>
        <w:rPr>
          <w:i/>
          <w:color w:val="58585B"/>
          <w:spacing w:val="-4"/>
          <w:position w:val="1"/>
        </w:rPr>
        <w:t>2009</w:t>
      </w:r>
      <w:r>
        <w:rPr>
          <w:i/>
          <w:color w:val="58585B"/>
          <w:position w:val="1"/>
        </w:rPr>
        <w:tab/>
      </w:r>
      <w:r>
        <w:rPr>
          <w:rFonts w:ascii="Microsoft Sans Serif"/>
          <w:color w:val="58585B"/>
        </w:rPr>
        <w:t>Bachelor</w:t>
      </w:r>
      <w:r>
        <w:rPr>
          <w:rFonts w:ascii="Microsoft Sans Serif"/>
          <w:color w:val="58585B"/>
          <w:spacing w:val="4"/>
        </w:rPr>
        <w:t> </w:t>
      </w:r>
      <w:r>
        <w:rPr>
          <w:rFonts w:ascii="Microsoft Sans Serif"/>
          <w:color w:val="58585B"/>
        </w:rPr>
        <w:t>of</w:t>
      </w:r>
      <w:r>
        <w:rPr>
          <w:rFonts w:ascii="Microsoft Sans Serif"/>
          <w:color w:val="58585B"/>
          <w:spacing w:val="5"/>
        </w:rPr>
        <w:t> </w:t>
      </w:r>
      <w:r>
        <w:rPr>
          <w:rFonts w:ascii="Microsoft Sans Serif"/>
          <w:color w:val="58585B"/>
        </w:rPr>
        <w:t>Arts</w:t>
      </w:r>
      <w:r>
        <w:rPr>
          <w:rFonts w:ascii="Microsoft Sans Serif"/>
          <w:color w:val="58585B"/>
          <w:spacing w:val="5"/>
        </w:rPr>
        <w:t> </w:t>
      </w:r>
      <w:r>
        <w:rPr>
          <w:rFonts w:ascii="Microsoft Sans Serif"/>
          <w:color w:val="58585B"/>
        </w:rPr>
        <w:t>in</w:t>
      </w:r>
      <w:r>
        <w:rPr>
          <w:rFonts w:ascii="Microsoft Sans Serif"/>
          <w:color w:val="58585B"/>
          <w:spacing w:val="5"/>
        </w:rPr>
        <w:t> </w:t>
      </w:r>
      <w:r>
        <w:rPr>
          <w:rFonts w:ascii="Microsoft Sans Serif"/>
          <w:color w:val="58585B"/>
        </w:rPr>
        <w:t>Real</w:t>
      </w:r>
      <w:r>
        <w:rPr>
          <w:rFonts w:ascii="Microsoft Sans Serif"/>
          <w:color w:val="58585B"/>
          <w:spacing w:val="5"/>
        </w:rPr>
        <w:t> </w:t>
      </w:r>
      <w:r>
        <w:rPr>
          <w:rFonts w:ascii="Microsoft Sans Serif"/>
          <w:color w:val="58585B"/>
        </w:rPr>
        <w:t>Estate</w:t>
      </w:r>
      <w:r>
        <w:rPr>
          <w:rFonts w:ascii="Microsoft Sans Serif"/>
          <w:color w:val="58585B"/>
          <w:spacing w:val="5"/>
        </w:rPr>
        <w:t> </w:t>
      </w:r>
      <w:r>
        <w:rPr>
          <w:rFonts w:ascii="Microsoft Sans Serif"/>
          <w:color w:val="58585B"/>
        </w:rPr>
        <w:t>and</w:t>
      </w:r>
      <w:r>
        <w:rPr>
          <w:rFonts w:ascii="Microsoft Sans Serif"/>
          <w:color w:val="58585B"/>
          <w:spacing w:val="5"/>
        </w:rPr>
        <w:t> </w:t>
      </w:r>
      <w:r>
        <w:rPr>
          <w:rFonts w:ascii="Microsoft Sans Serif"/>
          <w:color w:val="58585B"/>
          <w:spacing w:val="-2"/>
        </w:rPr>
        <w:t>Finance</w:t>
      </w:r>
    </w:p>
    <w:p>
      <w:pPr>
        <w:spacing w:after="0"/>
        <w:rPr>
          <w:rFonts w:ascii="Microsoft Sans Serif"/>
        </w:rPr>
        <w:sectPr>
          <w:type w:val="continuous"/>
          <w:pgSz w:w="11920" w:h="16860"/>
          <w:pgMar w:top="0" w:bottom="0" w:left="220" w:right="700"/>
          <w:cols w:num="2" w:equalWidth="0">
            <w:col w:w="3457" w:space="561"/>
            <w:col w:w="6982"/>
          </w:cols>
        </w:sectPr>
      </w:pPr>
    </w:p>
    <w:p>
      <w:pPr>
        <w:pStyle w:val="BodyText"/>
        <w:spacing w:before="240"/>
        <w:rPr>
          <w:rFonts w:ascii="Microsoft Sans Serif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92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9591675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9591675"/>
                                </a:lnTo>
                                <a:lnTo>
                                  <a:pt x="2552687" y="8096250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09549" y="3524249"/>
                            <a:ext cx="66675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75" h="2143125">
                                <a:moveTo>
                                  <a:pt x="66674" y="2143124"/>
                                </a:moveTo>
                                <a:lnTo>
                                  <a:pt x="0" y="2143124"/>
                                </a:lnTo>
                                <a:lnTo>
                                  <a:pt x="0" y="0"/>
                                </a:lnTo>
                                <a:lnTo>
                                  <a:pt x="66674" y="0"/>
                                </a:lnTo>
                                <a:lnTo>
                                  <a:pt x="66674" y="2143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857249" cy="847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63722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63722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6372224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63722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63722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68389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68389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6838949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68389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68389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73151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7315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7315199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7315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7315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77819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7781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7781924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7781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7781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82581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82581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8258174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82581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82581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8734424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8734424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8734424"/>
                            <a:ext cx="85725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8734424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8734424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92011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92011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9201149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92011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8" name="Image 48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92011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817216" id="docshapegroup5" coordorigin="0,0" coordsize="4020,16860">
                <v:shape style="position:absolute;left:0;top:0;width:4020;height:16860" id="docshape6" coordorigin="0,0" coordsize="4020,16860" path="m4020,0l0,0,0,510,0,4110,0,12750,0,15105,0,16860,4020,16860,4020,15105,4020,12750,4020,4110,4020,510,4020,0xe" filled="true" fillcolor="#f1f4f4" stroked="false">
                  <v:path arrowok="t"/>
                  <v:fill type="solid"/>
                </v:shape>
                <v:rect style="position:absolute;left:330;top:5550;width:105;height:3375" id="docshape7" filled="true" fillcolor="#2bd879" stroked="false">
                  <v:fill type="solid"/>
                </v:rect>
                <v:shape style="position:absolute;left:330;top:1065;width:1350;height:1335" type="#_x0000_t75" id="docshape8" stroked="false">
                  <v:imagedata r:id="rId10" o:title=""/>
                </v:shape>
                <v:shape style="position:absolute;left:330;top:10035;width:150;height:150" type="#_x0000_t75" id="docshape9" stroked="false">
                  <v:imagedata r:id="rId11" o:title=""/>
                </v:shape>
                <v:shape style="position:absolute;left:570;top:10035;width:150;height:150" type="#_x0000_t75" id="docshape10" stroked="false">
                  <v:imagedata r:id="rId11" o:title=""/>
                </v:shape>
                <v:shape style="position:absolute;left:825;top:10035;width:135;height:150" type="#_x0000_t75" id="docshape11" stroked="false">
                  <v:imagedata r:id="rId12" o:title=""/>
                </v:shape>
                <v:shape style="position:absolute;left:1065;top:10035;width:150;height:150" type="#_x0000_t75" id="docshape12" stroked="false">
                  <v:imagedata r:id="rId11" o:title=""/>
                </v:shape>
                <v:shape style="position:absolute;left:1305;top:10035;width:150;height:150" type="#_x0000_t75" id="docshape13" stroked="false">
                  <v:imagedata r:id="rId11" o:title=""/>
                </v:shape>
                <v:shape style="position:absolute;left:330;top:10770;width:150;height:150" type="#_x0000_t75" id="docshape14" stroked="false">
                  <v:imagedata r:id="rId11" o:title=""/>
                </v:shape>
                <v:shape style="position:absolute;left:570;top:10770;width:150;height:150" type="#_x0000_t75" id="docshape15" stroked="false">
                  <v:imagedata r:id="rId11" o:title=""/>
                </v:shape>
                <v:shape style="position:absolute;left:825;top:10770;width:135;height:150" type="#_x0000_t75" id="docshape16" stroked="false">
                  <v:imagedata r:id="rId13" o:title=""/>
                </v:shape>
                <v:shape style="position:absolute;left:1065;top:10770;width:150;height:150" type="#_x0000_t75" id="docshape17" stroked="false">
                  <v:imagedata r:id="rId11" o:title=""/>
                </v:shape>
                <v:shape style="position:absolute;left:1305;top:10770;width:150;height:150" type="#_x0000_t75" id="docshape18" stroked="false">
                  <v:imagedata r:id="rId14" o:title=""/>
                </v:shape>
                <v:shape style="position:absolute;left:330;top:11520;width:150;height:150" type="#_x0000_t75" id="docshape19" stroked="false">
                  <v:imagedata r:id="rId11" o:title=""/>
                </v:shape>
                <v:shape style="position:absolute;left:570;top:11520;width:150;height:150" type="#_x0000_t75" id="docshape20" stroked="false">
                  <v:imagedata r:id="rId11" o:title=""/>
                </v:shape>
                <v:shape style="position:absolute;left:825;top:11520;width:135;height:150" type="#_x0000_t75" id="docshape21" stroked="false">
                  <v:imagedata r:id="rId13" o:title=""/>
                </v:shape>
                <v:shape style="position:absolute;left:1065;top:11520;width:150;height:150" type="#_x0000_t75" id="docshape22" stroked="false">
                  <v:imagedata r:id="rId11" o:title=""/>
                </v:shape>
                <v:shape style="position:absolute;left:1305;top:11520;width:150;height:150" type="#_x0000_t75" id="docshape23" stroked="false">
                  <v:imagedata r:id="rId15" o:title=""/>
                </v:shape>
                <v:shape style="position:absolute;left:330;top:12255;width:150;height:150" type="#_x0000_t75" id="docshape24" stroked="false">
                  <v:imagedata r:id="rId11" o:title=""/>
                </v:shape>
                <v:shape style="position:absolute;left:570;top:12255;width:150;height:150" type="#_x0000_t75" id="docshape25" stroked="false">
                  <v:imagedata r:id="rId11" o:title=""/>
                </v:shape>
                <v:shape style="position:absolute;left:825;top:12255;width:135;height:150" type="#_x0000_t75" id="docshape26" stroked="false">
                  <v:imagedata r:id="rId13" o:title=""/>
                </v:shape>
                <v:shape style="position:absolute;left:1065;top:12255;width:150;height:150" type="#_x0000_t75" id="docshape27" stroked="false">
                  <v:imagedata r:id="rId14" o:title=""/>
                </v:shape>
                <v:shape style="position:absolute;left:1305;top:12255;width:150;height:150" type="#_x0000_t75" id="docshape28" stroked="false">
                  <v:imagedata r:id="rId14" o:title=""/>
                </v:shape>
                <v:shape style="position:absolute;left:330;top:13005;width:150;height:150" type="#_x0000_t75" id="docshape29" stroked="false">
                  <v:imagedata r:id="rId11" o:title=""/>
                </v:shape>
                <v:shape style="position:absolute;left:570;top:13005;width:150;height:150" type="#_x0000_t75" id="docshape30" stroked="false">
                  <v:imagedata r:id="rId11" o:title=""/>
                </v:shape>
                <v:shape style="position:absolute;left:825;top:13005;width:135;height:150" type="#_x0000_t75" id="docshape31" stroked="false">
                  <v:imagedata r:id="rId13" o:title=""/>
                </v:shape>
                <v:shape style="position:absolute;left:1065;top:13005;width:150;height:150" type="#_x0000_t75" id="docshape32" stroked="false">
                  <v:imagedata r:id="rId14" o:title=""/>
                </v:shape>
                <v:shape style="position:absolute;left:1305;top:13005;width:150;height:150" type="#_x0000_t75" id="docshape33" stroked="false">
                  <v:imagedata r:id="rId16" o:title=""/>
                </v:shape>
                <v:shape style="position:absolute;left:330;top:13755;width:150;height:135" type="#_x0000_t75" id="docshape34" stroked="false">
                  <v:imagedata r:id="rId17" o:title=""/>
                </v:shape>
                <v:shape style="position:absolute;left:570;top:13755;width:150;height:135" type="#_x0000_t75" id="docshape35" stroked="false">
                  <v:imagedata r:id="rId17" o:title=""/>
                </v:shape>
                <v:shape style="position:absolute;left:825;top:13755;width:135;height:135" type="#_x0000_t75" id="docshape36" stroked="false">
                  <v:imagedata r:id="rId18" o:title=""/>
                </v:shape>
                <v:shape style="position:absolute;left:1065;top:13755;width:150;height:135" type="#_x0000_t75" id="docshape37" stroked="false">
                  <v:imagedata r:id="rId19" o:title=""/>
                </v:shape>
                <v:shape style="position:absolute;left:1305;top:13755;width:150;height:135" type="#_x0000_t75" id="docshape38" stroked="false">
                  <v:imagedata r:id="rId19" o:title=""/>
                </v:shape>
                <v:shape style="position:absolute;left:330;top:14490;width:150;height:150" type="#_x0000_t75" id="docshape39" stroked="false">
                  <v:imagedata r:id="rId11" o:title=""/>
                </v:shape>
                <v:shape style="position:absolute;left:570;top:14490;width:150;height:150" type="#_x0000_t75" id="docshape40" stroked="false">
                  <v:imagedata r:id="rId11" o:title=""/>
                </v:shape>
                <v:shape style="position:absolute;left:825;top:14490;width:135;height:150" type="#_x0000_t75" id="docshape41" stroked="false">
                  <v:imagedata r:id="rId20" o:title=""/>
                </v:shape>
                <v:shape style="position:absolute;left:1065;top:14490;width:150;height:150" type="#_x0000_t75" id="docshape42" stroked="false">
                  <v:imagedata r:id="rId21" o:title=""/>
                </v:shape>
                <v:shape style="position:absolute;left:1305;top:14490;width:150;height:150" type="#_x0000_t75" id="docshape43" stroked="false">
                  <v:imagedata r:id="rId15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114"/>
      </w:pPr>
      <w:r>
        <w:rPr>
          <w:color w:val="58585B"/>
          <w:w w:val="105"/>
        </w:rPr>
        <w:t>Asset</w:t>
      </w:r>
      <w:r>
        <w:rPr>
          <w:color w:val="58585B"/>
          <w:spacing w:val="4"/>
          <w:w w:val="105"/>
        </w:rPr>
        <w:t> </w:t>
      </w:r>
      <w:r>
        <w:rPr>
          <w:color w:val="58585B"/>
          <w:spacing w:val="-2"/>
          <w:w w:val="105"/>
        </w:rPr>
        <w:t>strategy</w:t>
      </w:r>
    </w:p>
    <w:p>
      <w:pPr>
        <w:pStyle w:val="BodyText"/>
        <w:spacing w:before="224"/>
      </w:pPr>
    </w:p>
    <w:p>
      <w:pPr>
        <w:pStyle w:val="BodyText"/>
        <w:ind w:left="114"/>
      </w:pPr>
      <w:r>
        <w:rPr>
          <w:color w:val="58585B"/>
        </w:rPr>
        <w:t>Budget</w:t>
      </w:r>
      <w:r>
        <w:rPr>
          <w:color w:val="58585B"/>
          <w:spacing w:val="-2"/>
        </w:rPr>
        <w:t> forecasting</w:t>
      </w:r>
    </w:p>
    <w:p>
      <w:pPr>
        <w:pStyle w:val="BodyText"/>
        <w:spacing w:before="239"/>
      </w:pPr>
    </w:p>
    <w:p>
      <w:pPr>
        <w:pStyle w:val="BodyText"/>
        <w:ind w:left="114"/>
      </w:pPr>
      <w:r>
        <w:rPr>
          <w:color w:val="58585B"/>
          <w:spacing w:val="-4"/>
        </w:rPr>
        <w:t>Executive</w:t>
      </w:r>
      <w:r>
        <w:rPr>
          <w:color w:val="58585B"/>
          <w:spacing w:val="2"/>
        </w:rPr>
        <w:t> </w:t>
      </w:r>
      <w:r>
        <w:rPr>
          <w:color w:val="58585B"/>
          <w:spacing w:val="-2"/>
        </w:rPr>
        <w:t>reporting</w:t>
      </w:r>
    </w:p>
    <w:p>
      <w:pPr>
        <w:pStyle w:val="BodyText"/>
        <w:spacing w:before="224"/>
      </w:pPr>
    </w:p>
    <w:p>
      <w:pPr>
        <w:pStyle w:val="BodyText"/>
        <w:ind w:left="114"/>
      </w:pPr>
      <w:r>
        <w:rPr>
          <w:color w:val="58585B"/>
          <w:spacing w:val="-4"/>
        </w:rPr>
        <w:t>Multi-site</w:t>
      </w:r>
      <w:r>
        <w:rPr>
          <w:color w:val="58585B"/>
          <w:spacing w:val="4"/>
        </w:rPr>
        <w:t> </w:t>
      </w:r>
      <w:r>
        <w:rPr>
          <w:color w:val="58585B"/>
          <w:spacing w:val="-4"/>
        </w:rPr>
        <w:t>operations</w:t>
      </w:r>
    </w:p>
    <w:p>
      <w:pPr>
        <w:pStyle w:val="BodyText"/>
        <w:spacing w:before="239"/>
      </w:pPr>
    </w:p>
    <w:p>
      <w:pPr>
        <w:pStyle w:val="BodyText"/>
        <w:ind w:left="114"/>
      </w:pPr>
      <w:r>
        <w:rPr>
          <w:color w:val="58585B"/>
          <w:spacing w:val="-2"/>
        </w:rPr>
        <w:t>Portfolio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growth</w:t>
      </w:r>
    </w:p>
    <w:p>
      <w:pPr>
        <w:pStyle w:val="BodyText"/>
        <w:spacing w:before="224"/>
      </w:pPr>
    </w:p>
    <w:p>
      <w:pPr>
        <w:pStyle w:val="BodyText"/>
        <w:ind w:left="114"/>
      </w:pPr>
      <w:r>
        <w:rPr>
          <w:color w:val="58585B"/>
        </w:rPr>
        <w:t>Staff</w:t>
      </w:r>
      <w:r>
        <w:rPr>
          <w:color w:val="58585B"/>
          <w:spacing w:val="-7"/>
        </w:rPr>
        <w:t> </w:t>
      </w:r>
      <w:r>
        <w:rPr>
          <w:color w:val="58585B"/>
          <w:spacing w:val="-2"/>
        </w:rPr>
        <w:t>development</w:t>
      </w:r>
    </w:p>
    <w:p>
      <w:pPr>
        <w:pStyle w:val="BodyText"/>
        <w:spacing w:before="239"/>
      </w:pPr>
    </w:p>
    <w:p>
      <w:pPr>
        <w:pStyle w:val="BodyText"/>
        <w:ind w:left="114"/>
      </w:pPr>
      <w:r>
        <w:rPr>
          <w:color w:val="58585B"/>
          <w:spacing w:val="-2"/>
        </w:rPr>
        <w:t>Vendor</w:t>
      </w:r>
      <w:r>
        <w:rPr>
          <w:color w:val="58585B"/>
          <w:spacing w:val="-7"/>
        </w:rPr>
        <w:t> </w:t>
      </w:r>
      <w:r>
        <w:rPr>
          <w:color w:val="58585B"/>
          <w:spacing w:val="-2"/>
        </w:rPr>
        <w:t>contract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oversight</w:t>
      </w:r>
    </w:p>
    <w:sectPr>
      <w:type w:val="continuous"/>
      <w:pgSz w:w="11920" w:h="16860"/>
      <w:pgMar w:top="0" w:bottom="0" w:left="220" w:right="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05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8"/>
      <w:ind w:left="114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2025-10-16T18:08:36Z</dcterms:created>
  <dcterms:modified xsi:type="dcterms:W3CDTF">2025-10-16T18:08:36Z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