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6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220"/>
        </w:sectPr>
      </w:pPr>
    </w:p>
    <w:p>
      <w:pPr>
        <w:pStyle w:val="Title"/>
      </w:pPr>
      <w:r>
        <w:rPr>
          <w:color w:val="E37829"/>
          <w:w w:val="135"/>
        </w:rPr>
        <w:t>REESE</w:t>
      </w:r>
      <w:r>
        <w:rPr>
          <w:color w:val="E37829"/>
          <w:spacing w:val="-2"/>
          <w:w w:val="135"/>
        </w:rPr>
        <w:t> </w:t>
      </w:r>
      <w:r>
        <w:rPr>
          <w:color w:val="E37829"/>
          <w:spacing w:val="-4"/>
          <w:w w:val="135"/>
        </w:rPr>
        <w:t>KING</w:t>
      </w:r>
    </w:p>
    <w:p>
      <w:pPr>
        <w:pStyle w:val="Heading1"/>
        <w:spacing w:before="89"/>
        <w:ind w:left="1416"/>
      </w:pPr>
      <w:r>
        <w:rPr>
          <w:w w:val="125"/>
        </w:rPr>
        <w:t>HR</w:t>
      </w:r>
      <w:r>
        <w:rPr>
          <w:spacing w:val="32"/>
          <w:w w:val="125"/>
        </w:rPr>
        <w:t> </w:t>
      </w:r>
      <w:r>
        <w:rPr>
          <w:w w:val="125"/>
        </w:rPr>
        <w:t>Communications</w:t>
      </w:r>
      <w:r>
        <w:rPr>
          <w:spacing w:val="32"/>
          <w:w w:val="125"/>
        </w:rPr>
        <w:t> </w:t>
      </w:r>
      <w:r>
        <w:rPr>
          <w:spacing w:val="-2"/>
          <w:w w:val="125"/>
        </w:rPr>
        <w:t>Manager</w:t>
      </w:r>
    </w:p>
    <w:p>
      <w:pPr>
        <w:pStyle w:val="BodyText"/>
        <w:spacing w:line="280" w:lineRule="auto" w:before="155"/>
        <w:ind w:left="1416" w:right="663"/>
      </w:pPr>
      <w:r>
        <w:rPr/>
        <w:br w:type="column"/>
      </w:r>
      <w:r>
        <w:rPr>
          <w:color w:val="E37829"/>
          <w:w w:val="105"/>
        </w:rPr>
        <w:t>City, ST </w:t>
      </w:r>
      <w:hyperlink r:id="rId5">
        <w:r>
          <w:rPr>
            <w:color w:val="E37829"/>
            <w:spacing w:val="-2"/>
            <w:w w:val="105"/>
          </w:rPr>
          <w:t>email@email.com</w:t>
        </w:r>
      </w:hyperlink>
    </w:p>
    <w:p>
      <w:pPr>
        <w:pStyle w:val="BodyText"/>
        <w:spacing w:before="2"/>
        <w:ind w:left="1416"/>
      </w:pPr>
      <w:r>
        <w:rPr>
          <w:color w:val="E37829"/>
          <w:spacing w:val="-4"/>
        </w:rPr>
        <w:t>(123)</w:t>
      </w:r>
      <w:r>
        <w:rPr>
          <w:color w:val="E37829"/>
          <w:spacing w:val="-7"/>
        </w:rPr>
        <w:t> </w:t>
      </w:r>
      <w:r>
        <w:rPr>
          <w:color w:val="E37829"/>
          <w:spacing w:val="-4"/>
        </w:rPr>
        <w:t>456-7890</w:t>
      </w:r>
    </w:p>
    <w:p>
      <w:pPr>
        <w:pStyle w:val="BodyText"/>
        <w:spacing w:before="44"/>
        <w:ind w:left="1416"/>
      </w:pPr>
      <w:r>
        <w:rPr>
          <w:color w:val="E37829"/>
          <w:spacing w:val="-2"/>
          <w:w w:val="105"/>
        </w:rPr>
        <w:t>LinkedIn</w:t>
      </w:r>
    </w:p>
    <w:p>
      <w:pPr>
        <w:spacing w:after="0"/>
        <w:sectPr>
          <w:type w:val="continuous"/>
          <w:pgSz w:w="11920" w:h="16860"/>
          <w:pgMar w:top="0" w:bottom="280" w:left="220" w:right="220"/>
          <w:cols w:num="2" w:equalWidth="0">
            <w:col w:w="5551" w:space="2020"/>
            <w:col w:w="3909"/>
          </w:cols>
        </w:sectPr>
      </w:pPr>
    </w:p>
    <w:p>
      <w:pPr>
        <w:pStyle w:val="BodyText"/>
      </w:pPr>
    </w:p>
    <w:p>
      <w:pPr>
        <w:pStyle w:val="BodyText"/>
        <w:spacing w:before="164"/>
      </w:pPr>
    </w:p>
    <w:p>
      <w:pPr>
        <w:spacing w:before="0"/>
        <w:ind w:left="114" w:right="0" w:firstLine="0"/>
        <w:jc w:val="left"/>
        <w:rPr>
          <w:b/>
          <w:sz w:val="22"/>
        </w:rPr>
      </w:pPr>
      <w:r>
        <w:rPr>
          <w:b/>
          <w:spacing w:val="-2"/>
          <w:w w:val="105"/>
          <w:sz w:val="22"/>
        </w:rPr>
        <w:t>Internal</w:t>
      </w:r>
      <w:r>
        <w:rPr>
          <w:b/>
          <w:spacing w:val="-13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Communications</w:t>
      </w:r>
      <w:r>
        <w:rPr>
          <w:b/>
          <w:spacing w:val="-5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Leader</w:t>
      </w:r>
      <w:r>
        <w:rPr>
          <w:b/>
          <w:spacing w:val="-11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building</w:t>
      </w:r>
      <w:r>
        <w:rPr>
          <w:b/>
          <w:spacing w:val="-5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clarity</w:t>
      </w:r>
      <w:r>
        <w:rPr>
          <w:b/>
          <w:spacing w:val="-12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and</w:t>
      </w:r>
      <w:r>
        <w:rPr>
          <w:b/>
          <w:spacing w:val="-5"/>
          <w:w w:val="105"/>
          <w:sz w:val="22"/>
        </w:rPr>
        <w:t> </w:t>
      </w:r>
      <w:r>
        <w:rPr>
          <w:b/>
          <w:spacing w:val="-4"/>
          <w:w w:val="105"/>
          <w:sz w:val="22"/>
        </w:rPr>
        <w:t>trust</w:t>
      </w:r>
    </w:p>
    <w:p>
      <w:pPr>
        <w:pStyle w:val="BodyText"/>
        <w:spacing w:line="276" w:lineRule="auto" w:before="150"/>
        <w:ind w:left="114" w:right="37"/>
      </w:pPr>
      <w:r>
        <w:rPr>
          <w:w w:val="105"/>
        </w:rPr>
        <w:t>Human</w:t>
      </w:r>
      <w:r>
        <w:rPr>
          <w:spacing w:val="22"/>
          <w:w w:val="105"/>
        </w:rPr>
        <w:t> </w:t>
      </w:r>
      <w:r>
        <w:rPr>
          <w:w w:val="105"/>
        </w:rPr>
        <w:t>Resources</w:t>
      </w:r>
      <w:r>
        <w:rPr>
          <w:spacing w:val="22"/>
          <w:w w:val="105"/>
        </w:rPr>
        <w:t> </w:t>
      </w:r>
      <w:r>
        <w:rPr>
          <w:w w:val="105"/>
        </w:rPr>
        <w:t>Communications</w:t>
      </w:r>
      <w:r>
        <w:rPr>
          <w:spacing w:val="22"/>
          <w:w w:val="105"/>
        </w:rPr>
        <w:t> </w:t>
      </w:r>
      <w:r>
        <w:rPr>
          <w:w w:val="105"/>
        </w:rPr>
        <w:t>Manager with</w:t>
      </w:r>
      <w:r>
        <w:rPr>
          <w:spacing w:val="22"/>
          <w:w w:val="105"/>
        </w:rPr>
        <w:t> </w:t>
      </w:r>
      <w:r>
        <w:rPr>
          <w:w w:val="105"/>
        </w:rPr>
        <w:t>9 years</w:t>
      </w:r>
      <w:r>
        <w:rPr>
          <w:spacing w:val="22"/>
          <w:w w:val="105"/>
        </w:rPr>
        <w:t> </w:t>
      </w:r>
      <w:r>
        <w:rPr>
          <w:w w:val="105"/>
        </w:rPr>
        <w:t>of experience</w:t>
      </w:r>
      <w:r>
        <w:rPr>
          <w:spacing w:val="22"/>
          <w:w w:val="105"/>
        </w:rPr>
        <w:t> </w:t>
      </w:r>
      <w:r>
        <w:rPr>
          <w:w w:val="105"/>
        </w:rPr>
        <w:t>leading</w:t>
      </w:r>
      <w:r>
        <w:rPr>
          <w:spacing w:val="22"/>
          <w:w w:val="105"/>
        </w:rPr>
        <w:t> </w:t>
      </w:r>
      <w:r>
        <w:rPr>
          <w:w w:val="105"/>
        </w:rPr>
        <w:t>employee</w:t>
      </w:r>
      <w:r>
        <w:rPr>
          <w:spacing w:val="22"/>
          <w:w w:val="105"/>
        </w:rPr>
        <w:t> </w:t>
      </w:r>
      <w:r>
        <w:rPr>
          <w:w w:val="105"/>
        </w:rPr>
        <w:t>messaging, change</w:t>
      </w:r>
      <w:r>
        <w:rPr>
          <w:spacing w:val="-12"/>
          <w:w w:val="105"/>
        </w:rPr>
        <w:t> </w:t>
      </w:r>
      <w:r>
        <w:rPr>
          <w:w w:val="105"/>
        </w:rPr>
        <w:t>communications,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HR</w:t>
      </w:r>
      <w:r>
        <w:rPr>
          <w:spacing w:val="-12"/>
          <w:w w:val="105"/>
        </w:rPr>
        <w:t> </w:t>
      </w:r>
      <w:r>
        <w:rPr>
          <w:w w:val="105"/>
        </w:rPr>
        <w:t>content</w:t>
      </w:r>
      <w:r>
        <w:rPr>
          <w:spacing w:val="-12"/>
          <w:w w:val="105"/>
        </w:rPr>
        <w:t> </w:t>
      </w:r>
      <w:r>
        <w:rPr>
          <w:w w:val="105"/>
        </w:rPr>
        <w:t>strategy.</w:t>
      </w:r>
      <w:r>
        <w:rPr>
          <w:spacing w:val="-12"/>
          <w:w w:val="105"/>
        </w:rPr>
        <w:t> </w:t>
      </w:r>
      <w:r>
        <w:rPr>
          <w:w w:val="105"/>
        </w:rPr>
        <w:t>Builds</w:t>
      </w:r>
      <w:r>
        <w:rPr>
          <w:spacing w:val="-12"/>
          <w:w w:val="105"/>
        </w:rPr>
        <w:t> </w:t>
      </w:r>
      <w:r>
        <w:rPr>
          <w:w w:val="105"/>
        </w:rPr>
        <w:t>trust</w:t>
      </w:r>
      <w:r>
        <w:rPr>
          <w:spacing w:val="-12"/>
          <w:w w:val="105"/>
        </w:rPr>
        <w:t> </w:t>
      </w:r>
      <w:r>
        <w:rPr>
          <w:w w:val="105"/>
        </w:rPr>
        <w:t>through</w:t>
      </w:r>
      <w:r>
        <w:rPr>
          <w:spacing w:val="-12"/>
          <w:w w:val="105"/>
        </w:rPr>
        <w:t> </w:t>
      </w:r>
      <w:r>
        <w:rPr>
          <w:w w:val="105"/>
        </w:rPr>
        <w:t>transparent,</w:t>
      </w:r>
      <w:r>
        <w:rPr>
          <w:spacing w:val="-12"/>
          <w:w w:val="105"/>
        </w:rPr>
        <w:t> </w:t>
      </w:r>
      <w:r>
        <w:rPr>
          <w:w w:val="105"/>
        </w:rPr>
        <w:t>engaging</w:t>
      </w:r>
      <w:r>
        <w:rPr>
          <w:spacing w:val="-12"/>
          <w:w w:val="105"/>
        </w:rPr>
        <w:t> </w:t>
      </w:r>
      <w:r>
        <w:rPr>
          <w:w w:val="105"/>
        </w:rPr>
        <w:t>communication </w:t>
      </w:r>
      <w:r>
        <w:rPr>
          <w:spacing w:val="-2"/>
          <w:w w:val="105"/>
        </w:rPr>
        <w:t>channels.</w:t>
      </w:r>
    </w:p>
    <w:p>
      <w:pPr>
        <w:pStyle w:val="BodyText"/>
        <w:spacing w:before="9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280" w:left="220" w:right="220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26384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2638425"/>
                          <a:chExt cx="7568565" cy="26384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2638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3842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466850"/>
                                </a:lnTo>
                                <a:lnTo>
                                  <a:pt x="0" y="2638425"/>
                                </a:lnTo>
                                <a:lnTo>
                                  <a:pt x="7568171" y="2638425"/>
                                </a:lnTo>
                                <a:lnTo>
                                  <a:pt x="7568171" y="1466850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09549" y="1590674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207.75pt;mso-position-horizontal-relative:page;mso-position-vertical-relative:page;z-index:-15777792" id="docshapegroup1" coordorigin="0,0" coordsize="11919,4155">
                <v:shape style="position:absolute;left:0;top:0;width:11919;height:4155" id="docshape2" coordorigin="0,0" coordsize="11919,4155" path="m11918,0l0,0,0,510,0,525,0,2310,0,4155,11918,4155,11918,2310,11918,525,11918,510,11918,0xe" filled="true" fillcolor="#f1f4f4" stroked="false">
                  <v:path arrowok="t"/>
                  <v:fill type="solid"/>
                </v:shape>
                <v:rect style="position:absolute;left:330;top:2505;width:11265;height:15" id="docshape3" filled="true" fillcolor="#e37829" stroked="false">
                  <v:fill type="solid"/>
                </v:rect>
                <v:shape style="position:absolute;left:330;top:900;width:1005;height:1005" type="#_x0000_t75" id="docshape4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4676774</wp:posOffset>
                </wp:positionV>
                <wp:extent cx="2552700" cy="95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25527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52700" h="9525">
                              <a:moveTo>
                                <a:pt x="25526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2552699" y="0"/>
                              </a:lnTo>
                              <a:lnTo>
                                <a:pt x="25526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368.249969pt;width:200.999984pt;height:.75pt;mso-position-horizontal-relative:page;mso-position-vertical-relative:page;z-index:15729152" id="docshape5" filled="true" fillcolor="#e37829" stroked="false">
                <v:fill type="solid"/>
                <w10:wrap type="none"/>
              </v:rect>
            </w:pict>
          </mc:Fallback>
        </mc:AlternateContent>
      </w:r>
      <w:r>
        <w:rPr>
          <w:color w:val="E37829"/>
          <w:w w:val="130"/>
        </w:rPr>
        <w:t>Key</w:t>
      </w:r>
      <w:r>
        <w:rPr>
          <w:color w:val="E37829"/>
          <w:spacing w:val="-17"/>
          <w:w w:val="130"/>
        </w:rPr>
        <w:t> </w:t>
      </w:r>
      <w:r>
        <w:rPr>
          <w:color w:val="E37829"/>
          <w:spacing w:val="-2"/>
          <w:w w:val="130"/>
        </w:rPr>
        <w:t>Skills</w:t>
      </w:r>
    </w:p>
    <w:p>
      <w:pPr>
        <w:pStyle w:val="BodyText"/>
        <w:tabs>
          <w:tab w:pos="486" w:val="left" w:leader="none"/>
        </w:tabs>
        <w:spacing w:line="367" w:lineRule="auto" w:before="144"/>
        <w:ind w:left="139" w:right="295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Change communications </w:t>
      </w:r>
      <w:r>
        <w:rPr>
          <w:color w:val="58585B"/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3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05"/>
        </w:rPr>
        <w:t>DEI storytelling</w:t>
      </w:r>
    </w:p>
    <w:p>
      <w:pPr>
        <w:pStyle w:val="BodyText"/>
        <w:tabs>
          <w:tab w:pos="486" w:val="left" w:leader="none"/>
        </w:tabs>
        <w:spacing w:line="367" w:lineRule="auto"/>
        <w:ind w:left="139" w:right="485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Employee engagement </w:t>
      </w:r>
      <w:r>
        <w:rPr>
          <w:color w:val="58585B"/>
          <w:position w:val="3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3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05"/>
        </w:rPr>
        <w:t>Internal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newsletters</w:t>
      </w:r>
    </w:p>
    <w:p>
      <w:pPr>
        <w:pStyle w:val="BodyText"/>
        <w:tabs>
          <w:tab w:pos="486" w:val="left" w:leader="none"/>
        </w:tabs>
        <w:spacing w:line="367" w:lineRule="auto"/>
        <w:ind w:left="139" w:right="485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Policy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communications </w:t>
      </w:r>
      <w:r>
        <w:rPr>
          <w:color w:val="58585B"/>
          <w:position w:val="3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3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05"/>
        </w:rPr>
        <w:t>Town hall planning</w:t>
      </w:r>
    </w:p>
    <w:p>
      <w:pPr>
        <w:pStyle w:val="BodyText"/>
        <w:spacing w:before="178"/>
      </w:pPr>
    </w:p>
    <w:p>
      <w:pPr>
        <w:pStyle w:val="Heading1"/>
        <w:spacing w:before="0"/>
      </w:pPr>
      <w:r>
        <w:rPr>
          <w:color w:val="E37829"/>
          <w:spacing w:val="-2"/>
          <w:w w:val="130"/>
        </w:rPr>
        <w:t>Education</w:t>
      </w:r>
    </w:p>
    <w:p>
      <w:pPr>
        <w:spacing w:line="316" w:lineRule="auto" w:before="224"/>
        <w:ind w:left="114" w:right="0" w:firstLine="0"/>
        <w:jc w:val="left"/>
        <w:rPr>
          <w:sz w:val="22"/>
        </w:rPr>
      </w:pPr>
      <w:r>
        <w:rPr>
          <w:rFonts w:ascii="Calibri"/>
          <w:color w:val="58585B"/>
          <w:w w:val="120"/>
          <w:sz w:val="18"/>
        </w:rPr>
        <w:t>Bachelor of Science in Human Resource Development </w:t>
      </w:r>
      <w:r>
        <w:rPr>
          <w:rFonts w:ascii="Calibri"/>
          <w:color w:val="58585B"/>
          <w:sz w:val="18"/>
        </w:rPr>
        <w:t>| </w:t>
      </w:r>
      <w:r>
        <w:rPr>
          <w:rFonts w:ascii="Calibri"/>
          <w:color w:val="58585B"/>
          <w:w w:val="120"/>
          <w:sz w:val="18"/>
        </w:rPr>
        <w:t>2014 </w:t>
      </w:r>
      <w:r>
        <w:rPr>
          <w:color w:val="58585B"/>
          <w:spacing w:val="-4"/>
          <w:w w:val="110"/>
          <w:sz w:val="22"/>
        </w:rPr>
        <w:t>Towson</w:t>
      </w:r>
      <w:r>
        <w:rPr>
          <w:color w:val="58585B"/>
          <w:spacing w:val="-14"/>
          <w:w w:val="110"/>
          <w:sz w:val="22"/>
        </w:rPr>
        <w:t> </w:t>
      </w:r>
      <w:r>
        <w:rPr>
          <w:color w:val="58585B"/>
          <w:spacing w:val="-4"/>
          <w:sz w:val="22"/>
        </w:rPr>
        <w:t>University,</w:t>
      </w:r>
      <w:r>
        <w:rPr>
          <w:color w:val="58585B"/>
          <w:spacing w:val="-13"/>
          <w:sz w:val="22"/>
        </w:rPr>
        <w:t> </w:t>
      </w:r>
      <w:r>
        <w:rPr>
          <w:color w:val="58585B"/>
          <w:spacing w:val="-4"/>
          <w:w w:val="110"/>
          <w:sz w:val="22"/>
        </w:rPr>
        <w:t>Towson,</w:t>
      </w:r>
      <w:r>
        <w:rPr>
          <w:color w:val="58585B"/>
          <w:spacing w:val="-14"/>
          <w:w w:val="110"/>
          <w:sz w:val="22"/>
        </w:rPr>
        <w:t> </w:t>
      </w:r>
      <w:r>
        <w:rPr>
          <w:color w:val="58585B"/>
          <w:spacing w:val="-4"/>
          <w:w w:val="110"/>
          <w:sz w:val="22"/>
        </w:rPr>
        <w:t>MD</w:t>
      </w:r>
    </w:p>
    <w:p>
      <w:pPr>
        <w:pStyle w:val="Heading1"/>
      </w:pPr>
      <w:r>
        <w:rPr>
          <w:b w:val="0"/>
        </w:rPr>
        <w:br w:type="column"/>
      </w:r>
      <w:r>
        <w:rPr>
          <w:color w:val="E37829"/>
          <w:w w:val="125"/>
        </w:rPr>
        <w:t>Professional</w:t>
      </w:r>
      <w:r>
        <w:rPr>
          <w:color w:val="E37829"/>
          <w:spacing w:val="10"/>
          <w:w w:val="125"/>
        </w:rPr>
        <w:t> </w:t>
      </w:r>
      <w:r>
        <w:rPr>
          <w:color w:val="E37829"/>
          <w:spacing w:val="-2"/>
          <w:w w:val="125"/>
        </w:rPr>
        <w:t>Experience</w:t>
      </w:r>
    </w:p>
    <w:p>
      <w:pPr>
        <w:spacing w:before="224"/>
        <w:ind w:left="114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58585B"/>
          <w:w w:val="130"/>
          <w:sz w:val="18"/>
        </w:rPr>
        <w:t>Onboarding</w:t>
      </w:r>
      <w:r>
        <w:rPr>
          <w:rFonts w:ascii="Calibri"/>
          <w:b/>
          <w:color w:val="58585B"/>
          <w:spacing w:val="5"/>
          <w:w w:val="130"/>
          <w:sz w:val="18"/>
        </w:rPr>
        <w:t> </w:t>
      </w:r>
      <w:r>
        <w:rPr>
          <w:rFonts w:ascii="Calibri"/>
          <w:b/>
          <w:color w:val="58585B"/>
          <w:spacing w:val="-2"/>
          <w:w w:val="130"/>
          <w:sz w:val="18"/>
        </w:rPr>
        <w:t>Manager</w:t>
      </w:r>
    </w:p>
    <w:p>
      <w:pPr>
        <w:spacing w:before="60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pacing w:val="-4"/>
          <w:sz w:val="22"/>
        </w:rPr>
        <w:t>Northwind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4"/>
          <w:sz w:val="22"/>
        </w:rPr>
        <w:t>Logistics,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4"/>
          <w:sz w:val="22"/>
        </w:rPr>
        <w:t>Baltimore,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4"/>
          <w:sz w:val="22"/>
        </w:rPr>
        <w:t>MD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4"/>
          <w:sz w:val="22"/>
        </w:rPr>
        <w:t>|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pacing w:val="-4"/>
          <w:sz w:val="22"/>
        </w:rPr>
        <w:t>April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pacing w:val="-4"/>
          <w:sz w:val="22"/>
        </w:rPr>
        <w:t>2019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4"/>
          <w:sz w:val="22"/>
        </w:rPr>
        <w:t>-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4"/>
          <w:sz w:val="22"/>
        </w:rPr>
        <w:t>Present</w:t>
      </w:r>
    </w:p>
    <w:p>
      <w:pPr>
        <w:pStyle w:val="BodyText"/>
        <w:tabs>
          <w:tab w:pos="486" w:val="left" w:leader="none"/>
        </w:tabs>
        <w:spacing w:line="268" w:lineRule="auto" w:before="239"/>
        <w:ind w:left="486" w:right="275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Revamped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onboarding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process,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reducing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time-to-productivity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by </w:t>
      </w:r>
      <w:r>
        <w:rPr>
          <w:color w:val="58585B"/>
          <w:spacing w:val="-4"/>
          <w:w w:val="105"/>
        </w:rPr>
        <w:t>30%</w:t>
      </w:r>
    </w:p>
    <w:p>
      <w:pPr>
        <w:pStyle w:val="BodyText"/>
        <w:tabs>
          <w:tab w:pos="486" w:val="left" w:leader="none"/>
        </w:tabs>
        <w:spacing w:line="280" w:lineRule="auto" w:before="103"/>
        <w:ind w:left="486" w:right="294" w:hanging="36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Created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onboarding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portal</w:t>
      </w:r>
      <w:r>
        <w:rPr>
          <w:color w:val="58585B"/>
          <w:spacing w:val="-21"/>
          <w:w w:val="105"/>
        </w:rPr>
        <w:t> </w:t>
      </w:r>
      <w:r>
        <w:rPr>
          <w:color w:val="58585B"/>
          <w:w w:val="105"/>
        </w:rPr>
        <w:t>that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improved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first-week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engagement by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41%</w:t>
      </w:r>
    </w:p>
    <w:p>
      <w:pPr>
        <w:pStyle w:val="BodyText"/>
        <w:tabs>
          <w:tab w:pos="486" w:val="left" w:leader="none"/>
        </w:tabs>
        <w:spacing w:before="93"/>
        <w:ind w:left="12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Increased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90-day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retention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from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72%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to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89%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over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two</w:t>
      </w:r>
      <w:r>
        <w:rPr>
          <w:color w:val="58585B"/>
          <w:spacing w:val="-18"/>
          <w:w w:val="105"/>
        </w:rPr>
        <w:t> </w:t>
      </w:r>
      <w:r>
        <w:rPr>
          <w:color w:val="58585B"/>
          <w:spacing w:val="-2"/>
          <w:w w:val="105"/>
        </w:rPr>
        <w:t>years</w:t>
      </w:r>
    </w:p>
    <w:p>
      <w:pPr>
        <w:pStyle w:val="BodyText"/>
        <w:spacing w:before="94"/>
      </w:pPr>
    </w:p>
    <w:p>
      <w:pPr>
        <w:spacing w:before="0"/>
        <w:ind w:left="114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58585B"/>
          <w:w w:val="130"/>
          <w:sz w:val="18"/>
        </w:rPr>
        <w:t>HR</w:t>
      </w:r>
      <w:r>
        <w:rPr>
          <w:rFonts w:ascii="Calibri"/>
          <w:b/>
          <w:color w:val="58585B"/>
          <w:spacing w:val="4"/>
          <w:w w:val="130"/>
          <w:sz w:val="18"/>
        </w:rPr>
        <w:t> </w:t>
      </w:r>
      <w:r>
        <w:rPr>
          <w:rFonts w:ascii="Calibri"/>
          <w:b/>
          <w:color w:val="58585B"/>
          <w:spacing w:val="-2"/>
          <w:w w:val="130"/>
          <w:sz w:val="18"/>
        </w:rPr>
        <w:t>Assistant</w:t>
      </w:r>
    </w:p>
    <w:p>
      <w:pPr>
        <w:spacing w:before="45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Linden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Manufacturing,</w:t>
      </w:r>
      <w:r>
        <w:rPr>
          <w:i/>
          <w:color w:val="58585B"/>
          <w:spacing w:val="-18"/>
          <w:sz w:val="22"/>
        </w:rPr>
        <w:t> </w:t>
      </w:r>
      <w:r>
        <w:rPr>
          <w:i/>
          <w:color w:val="58585B"/>
          <w:sz w:val="22"/>
        </w:rPr>
        <w:t>Towson,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z w:val="22"/>
        </w:rPr>
        <w:t>MD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w w:val="95"/>
          <w:sz w:val="22"/>
        </w:rPr>
        <w:t>|</w:t>
      </w:r>
      <w:r>
        <w:rPr>
          <w:i/>
          <w:color w:val="58585B"/>
          <w:spacing w:val="-14"/>
          <w:w w:val="95"/>
          <w:sz w:val="22"/>
        </w:rPr>
        <w:t> </w:t>
      </w:r>
      <w:r>
        <w:rPr>
          <w:i/>
          <w:color w:val="58585B"/>
          <w:sz w:val="22"/>
        </w:rPr>
        <w:t>June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z w:val="22"/>
        </w:rPr>
        <w:t>2015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z w:val="22"/>
        </w:rPr>
        <w:t>-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z w:val="22"/>
        </w:rPr>
        <w:t>March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pacing w:val="-4"/>
          <w:sz w:val="22"/>
        </w:rPr>
        <w:t>2019</w:t>
      </w:r>
    </w:p>
    <w:p>
      <w:pPr>
        <w:pStyle w:val="BodyText"/>
        <w:tabs>
          <w:tab w:pos="486" w:val="left" w:leader="none"/>
        </w:tabs>
        <w:spacing w:line="390" w:lineRule="atLeast" w:before="105"/>
        <w:ind w:left="127" w:right="32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Scheduled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facilitated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orientation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sessions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for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500+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new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hires </w:t>
      </w:r>
      <w:r>
        <w:rPr>
          <w:color w:val="58585B"/>
          <w:position w:val="3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3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05"/>
        </w:rPr>
        <w:t>Maintained HRIS records for onboarding documentation and</w:t>
      </w:r>
    </w:p>
    <w:p>
      <w:pPr>
        <w:pStyle w:val="BodyText"/>
        <w:spacing w:before="44"/>
        <w:ind w:left="486"/>
      </w:pPr>
      <w:r>
        <w:rPr>
          <w:color w:val="58585B"/>
        </w:rPr>
        <w:t>benefits</w:t>
      </w:r>
      <w:r>
        <w:rPr>
          <w:color w:val="58585B"/>
          <w:spacing w:val="2"/>
        </w:rPr>
        <w:t> </w:t>
      </w:r>
      <w:r>
        <w:rPr>
          <w:color w:val="58585B"/>
          <w:spacing w:val="-2"/>
        </w:rPr>
        <w:t>setup</w:t>
      </w:r>
    </w:p>
    <w:p>
      <w:pPr>
        <w:pStyle w:val="BodyText"/>
        <w:tabs>
          <w:tab w:pos="486" w:val="left" w:leader="none"/>
        </w:tabs>
        <w:spacing w:before="135"/>
        <w:ind w:left="12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Supported</w:t>
      </w:r>
      <w:r>
        <w:rPr>
          <w:color w:val="58585B"/>
          <w:spacing w:val="22"/>
        </w:rPr>
        <w:t> </w:t>
      </w:r>
      <w:r>
        <w:rPr>
          <w:color w:val="58585B"/>
        </w:rPr>
        <w:t>relocation</w:t>
      </w:r>
      <w:r>
        <w:rPr>
          <w:color w:val="58585B"/>
          <w:spacing w:val="23"/>
        </w:rPr>
        <w:t> </w:t>
      </w:r>
      <w:r>
        <w:rPr>
          <w:color w:val="58585B"/>
        </w:rPr>
        <w:t>logistics</w:t>
      </w:r>
      <w:r>
        <w:rPr>
          <w:color w:val="58585B"/>
          <w:spacing w:val="23"/>
        </w:rPr>
        <w:t> </w:t>
      </w:r>
      <w:r>
        <w:rPr>
          <w:color w:val="58585B"/>
        </w:rPr>
        <w:t>for</w:t>
      </w:r>
      <w:r>
        <w:rPr>
          <w:color w:val="58585B"/>
          <w:spacing w:val="15"/>
        </w:rPr>
        <w:t> </w:t>
      </w:r>
      <w:r>
        <w:rPr>
          <w:color w:val="58585B"/>
        </w:rPr>
        <w:t>out-of-state</w:t>
      </w:r>
      <w:r>
        <w:rPr>
          <w:color w:val="58585B"/>
          <w:spacing w:val="23"/>
        </w:rPr>
        <w:t> </w:t>
      </w:r>
      <w:r>
        <w:rPr>
          <w:color w:val="58585B"/>
          <w:spacing w:val="-2"/>
        </w:rPr>
        <w:t>hires</w:t>
      </w:r>
    </w:p>
    <w:sectPr>
      <w:type w:val="continuous"/>
      <w:pgSz w:w="11920" w:h="16860"/>
      <w:pgMar w:top="0" w:bottom="280" w:left="220" w:right="220"/>
      <w:cols w:num="2" w:equalWidth="0">
        <w:col w:w="3358" w:space="659"/>
        <w:col w:w="746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5"/>
      <w:ind w:left="114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14"/>
      <w:ind w:left="1416"/>
    </w:pPr>
    <w:rPr>
      <w:rFonts w:ascii="Calibri" w:hAnsi="Calibri" w:eastAsia="Calibri" w:cs="Calibri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2025-11-09T18:22:01Z</dcterms:created>
  <dcterms:modified xsi:type="dcterms:W3CDTF">2025-11-09T18:22:01Z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2025-11-09T00:00:00Z</vt:filetime>
  </property>
  <property fmtid="{D5CDD505-2E9C-101B-9397-08002B2CF9AE}" pid="5" name="Producer">
    <vt:lpwstr>Skia/PDF m121</vt:lpwstr>
  </property>
</Properties>
</file>