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  <w:w w:val="135"/>
        </w:rPr>
        <w:t>SKYLER LEWIS</w:t>
      </w:r>
    </w:p>
    <w:p>
      <w:pPr>
        <w:pStyle w:val="Heading1"/>
        <w:spacing w:line="249" w:lineRule="auto" w:before="63"/>
      </w:pPr>
      <w:r>
        <w:rPr>
          <w:color w:val="FFFFFF"/>
          <w:w w:val="125"/>
        </w:rPr>
        <w:t>Workforce </w:t>
      </w:r>
      <w:r>
        <w:rPr>
          <w:color w:val="FFFFFF"/>
          <w:w w:val="125"/>
        </w:rPr>
        <w:t>Planning </w:t>
      </w:r>
      <w:r>
        <w:rPr>
          <w:color w:val="FFFFFF"/>
          <w:spacing w:val="-2"/>
          <w:w w:val="125"/>
        </w:rPr>
        <w:t>Manager</w:t>
      </w:r>
    </w:p>
    <w:p>
      <w:pPr>
        <w:pStyle w:val="BodyText"/>
        <w:spacing w:before="68"/>
        <w:rPr>
          <w:rFonts w:ascii="Calibri"/>
          <w:b/>
          <w:sz w:val="26"/>
        </w:rPr>
      </w:pPr>
    </w:p>
    <w:p>
      <w:pPr>
        <w:pStyle w:val="BodyText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pacing w:val="-2"/>
            <w:sz w:val="22"/>
          </w:rPr>
          <w:t>email@email.com</w:t>
        </w:r>
      </w:hyperlink>
      <w:r>
        <w:rPr>
          <w:color w:val="FFFFFF"/>
          <w:spacing w:val="4"/>
          <w:sz w:val="22"/>
        </w:rPr>
        <w:t> </w:t>
      </w:r>
      <w:r>
        <w:rPr>
          <w:i/>
          <w:color w:val="FFFFFF"/>
          <w:spacing w:val="-2"/>
          <w:sz w:val="22"/>
        </w:rPr>
        <w:t>(123)</w:t>
      </w:r>
      <w:r>
        <w:rPr>
          <w:i/>
          <w:color w:val="FFFFFF"/>
          <w:spacing w:val="4"/>
          <w:sz w:val="22"/>
        </w:rPr>
        <w:t> </w:t>
      </w:r>
      <w:r>
        <w:rPr>
          <w:i/>
          <w:color w:val="FFFFFF"/>
          <w:spacing w:val="-2"/>
          <w:sz w:val="22"/>
        </w:rPr>
        <w:t>456-</w:t>
      </w:r>
      <w:r>
        <w:rPr>
          <w:i/>
          <w:color w:val="FFFFFF"/>
          <w:spacing w:val="-4"/>
          <w:sz w:val="22"/>
        </w:rPr>
        <w:t>7890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spacing w:before="104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2"/>
          <w:w w:val="105"/>
          <w:sz w:val="22"/>
        </w:rPr>
        <w:t>Workforce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Strategist</w:t>
      </w:r>
      <w:r>
        <w:rPr>
          <w:b/>
          <w:color w:val="FFFFFF"/>
          <w:spacing w:val="-11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with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strong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forecasting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and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analytics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skills</w:t>
      </w:r>
    </w:p>
    <w:p>
      <w:pPr>
        <w:pStyle w:val="BodyText"/>
        <w:spacing w:line="276" w:lineRule="auto" w:before="164"/>
        <w:ind w:left="114" w:right="95"/>
      </w:pPr>
      <w:r>
        <w:rPr>
          <w:color w:val="FFFFFF"/>
        </w:rPr>
        <w:t>Workforce Planning Professional with 10+ years of experience aligning talent supply with business demand. Expert in workforce forecasting, organizational design, and headcount planning.</w:t>
      </w:r>
    </w:p>
    <w:p>
      <w:pPr>
        <w:spacing w:after="0" w:line="276" w:lineRule="auto"/>
        <w:sectPr>
          <w:type w:val="continuous"/>
          <w:pgSz w:w="11920" w:h="16860"/>
          <w:pgMar w:top="0" w:bottom="280" w:left="220" w:right="280"/>
          <w:cols w:num="2" w:equalWidth="0">
            <w:col w:w="3468" w:space="903"/>
            <w:col w:w="7049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7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7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765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76562"/>
                              </a:lnTo>
                              <a:lnTo>
                                <a:pt x="7568171" y="307656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2.25pt;mso-position-horizontal-relative:page;mso-position-vertical-relative:page;z-index:-15774208" id="docshape1" coordorigin="0,0" coordsize="11919,4845" path="m11918,0l0,0,0,510,0,525,0,4845,11918,4845,11918,525,11918,510,11918,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69" w:after="1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2"/>
      </w:pPr>
      <w:r>
        <w:rPr>
          <w:color w:val="075700"/>
          <w:w w:val="130"/>
        </w:rPr>
        <w:t>Key</w:t>
      </w:r>
      <w:r>
        <w:rPr>
          <w:color w:val="075700"/>
          <w:spacing w:val="-9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04"/>
        <w:ind w:left="139" w:right="9213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Budget planning </w:t>
      </w:r>
      <w:r>
        <w:rPr>
          <w:color w:val="232323"/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Data modeling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05"/>
        </w:rPr>
        <w:t>Forecasting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Headcount</w:t>
      </w:r>
      <w:r>
        <w:rPr>
          <w:color w:val="232323"/>
          <w:spacing w:val="6"/>
          <w:w w:val="110"/>
        </w:rPr>
        <w:t> </w:t>
      </w:r>
      <w:r>
        <w:rPr>
          <w:color w:val="232323"/>
          <w:spacing w:val="-2"/>
          <w:w w:val="110"/>
        </w:rPr>
        <w:t>management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796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Strategic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workforce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planning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Succession mapping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111152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52194pt;width:563.249955pt;height:.75pt;mso-position-horizontal-relative:page;mso-position-vertical-relative:paragraph;z-index:-15728128;mso-wrap-distance-left:0;mso-wrap-distance-right:0" id="docshape4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5700"/>
          <w:w w:val="125"/>
        </w:rPr>
        <w:t>Professional</w:t>
      </w:r>
      <w:r>
        <w:rPr>
          <w:color w:val="075700"/>
          <w:spacing w:val="28"/>
          <w:w w:val="125"/>
        </w:rPr>
        <w:t> </w:t>
      </w:r>
      <w:r>
        <w:rPr>
          <w:color w:val="075700"/>
          <w:spacing w:val="-2"/>
          <w:w w:val="125"/>
        </w:rPr>
        <w:t>Experience</w:t>
      </w:r>
    </w:p>
    <w:p>
      <w:pPr>
        <w:tabs>
          <w:tab w:pos="3974" w:val="left" w:leader="none"/>
        </w:tabs>
        <w:spacing w:before="204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20"/>
          <w:sz w:val="18"/>
        </w:rPr>
        <w:t>Compensation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spacing w:val="4"/>
          <w:w w:val="120"/>
          <w:sz w:val="18"/>
        </w:rPr>
        <w:t>and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spacing w:val="4"/>
          <w:w w:val="120"/>
          <w:sz w:val="18"/>
        </w:rPr>
        <w:t>Benefits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Manager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z w:val="22"/>
        </w:rPr>
        <w:t>Westlake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Logistics,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Phoenix,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AZ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sz w:val="22"/>
        </w:rPr>
        <w:t>May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2018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Redesigned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compensation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bands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to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align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market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data,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reducing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pay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disparities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by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5"/>
          <w:w w:val="105"/>
        </w:rPr>
        <w:t>19%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76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05"/>
        </w:rPr>
        <w:t>Introduced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flexible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benefits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offerings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that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led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to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a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24%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increase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in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employee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enrollment</w:t>
      </w:r>
      <w:r>
        <w:rPr>
          <w:color w:val="232323"/>
          <w:spacing w:val="-10"/>
          <w:w w:val="105"/>
        </w:rPr>
        <w:t> </w:t>
      </w:r>
      <w:r>
        <w:rPr>
          <w:color w:val="232323"/>
          <w:spacing w:val="-2"/>
          <w:w w:val="105"/>
        </w:rPr>
        <w:t>satisfaction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Conducted annual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salary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audits and prepared compensation reports for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executive review</w:t>
      </w:r>
    </w:p>
    <w:p>
      <w:pPr>
        <w:tabs>
          <w:tab w:pos="2888" w:val="left" w:leader="none"/>
        </w:tabs>
        <w:spacing w:before="133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20"/>
          <w:sz w:val="18"/>
        </w:rPr>
        <w:t>HR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spacing w:val="4"/>
          <w:w w:val="120"/>
          <w:sz w:val="18"/>
        </w:rPr>
        <w:t>Compensation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Analyst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MetroMedia</w:t>
      </w:r>
      <w:r>
        <w:rPr>
          <w:i/>
          <w:color w:val="232323"/>
          <w:spacing w:val="-3"/>
          <w:sz w:val="22"/>
        </w:rPr>
        <w:t> </w:t>
      </w:r>
      <w:r>
        <w:rPr>
          <w:i/>
          <w:color w:val="232323"/>
          <w:w w:val="95"/>
          <w:sz w:val="22"/>
        </w:rPr>
        <w:t>Corp.,</w:t>
      </w:r>
      <w:r>
        <w:rPr>
          <w:i/>
          <w:color w:val="232323"/>
          <w:spacing w:val="-2"/>
          <w:sz w:val="22"/>
        </w:rPr>
        <w:t> </w:t>
      </w:r>
      <w:r>
        <w:rPr>
          <w:i/>
          <w:color w:val="232323"/>
          <w:w w:val="95"/>
          <w:sz w:val="22"/>
        </w:rPr>
        <w:t>Scottsdale,</w:t>
      </w:r>
      <w:r>
        <w:rPr>
          <w:i/>
          <w:color w:val="232323"/>
          <w:spacing w:val="-6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AZ</w:t>
      </w:r>
      <w:r>
        <w:rPr>
          <w:i/>
          <w:color w:val="232323"/>
          <w:spacing w:val="-2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July</w:t>
      </w:r>
      <w:r>
        <w:rPr>
          <w:i/>
          <w:color w:val="232323"/>
          <w:spacing w:val="-4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2013</w:t>
      </w:r>
      <w:r>
        <w:rPr>
          <w:i/>
          <w:color w:val="232323"/>
          <w:spacing w:val="-2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6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April</w:t>
      </w:r>
      <w:r>
        <w:rPr>
          <w:i/>
          <w:color w:val="232323"/>
          <w:spacing w:val="-6"/>
          <w:w w:val="95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49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Built salary structures for over 100 job titles across multiple departments</w:t>
      </w:r>
      <w:r>
        <w:rPr>
          <w:color w:val="232323"/>
          <w:spacing w:val="80"/>
        </w:rPr>
        <w:t>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Partnered with finance to model total rewards cost projections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Created</w:t>
      </w:r>
      <w:r>
        <w:rPr>
          <w:color w:val="232323"/>
          <w:spacing w:val="6"/>
          <w:w w:val="105"/>
        </w:rPr>
        <w:t> </w:t>
      </w:r>
      <w:r>
        <w:rPr>
          <w:color w:val="232323"/>
          <w:w w:val="105"/>
        </w:rPr>
        <w:t>compensation</w:t>
      </w:r>
      <w:r>
        <w:rPr>
          <w:color w:val="232323"/>
          <w:spacing w:val="6"/>
          <w:w w:val="105"/>
        </w:rPr>
        <w:t> </w:t>
      </w:r>
      <w:r>
        <w:rPr>
          <w:color w:val="232323"/>
          <w:w w:val="105"/>
        </w:rPr>
        <w:t>dashboards</w:t>
      </w:r>
      <w:r>
        <w:rPr>
          <w:color w:val="232323"/>
          <w:spacing w:val="7"/>
          <w:w w:val="105"/>
        </w:rPr>
        <w:t> </w:t>
      </w:r>
      <w:r>
        <w:rPr>
          <w:color w:val="232323"/>
          <w:w w:val="105"/>
        </w:rPr>
        <w:t>using</w:t>
      </w:r>
      <w:r>
        <w:rPr>
          <w:color w:val="232323"/>
          <w:spacing w:val="6"/>
          <w:w w:val="105"/>
        </w:rPr>
        <w:t> </w:t>
      </w:r>
      <w:r>
        <w:rPr>
          <w:color w:val="232323"/>
          <w:w w:val="105"/>
        </w:rPr>
        <w:t>Excel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7"/>
          <w:w w:val="105"/>
        </w:rPr>
        <w:t> </w:t>
      </w:r>
      <w:r>
        <w:rPr>
          <w:color w:val="232323"/>
          <w:w w:val="105"/>
        </w:rPr>
        <w:t>HRIS</w:t>
      </w:r>
      <w:r>
        <w:rPr>
          <w:color w:val="232323"/>
          <w:spacing w:val="6"/>
          <w:w w:val="105"/>
        </w:rPr>
        <w:t> </w:t>
      </w:r>
      <w:r>
        <w:rPr>
          <w:color w:val="232323"/>
          <w:spacing w:val="-4"/>
          <w:w w:val="105"/>
        </w:rPr>
        <w:t>tools</w:t>
      </w:r>
    </w:p>
    <w:p>
      <w:pPr>
        <w:pStyle w:val="BodyText"/>
        <w:spacing w:before="3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188052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07254pt;width:563.249955pt;height:.75pt;mso-position-horizontal-relative:page;mso-position-vertical-relative:paragraph;z-index:-15727616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5700"/>
          <w:spacing w:val="-2"/>
          <w:w w:val="130"/>
        </w:rPr>
        <w:t>Education</w:t>
      </w:r>
    </w:p>
    <w:p>
      <w:pPr>
        <w:tabs>
          <w:tab w:pos="6161" w:val="left" w:leader="none"/>
        </w:tabs>
        <w:spacing w:before="219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48"/>
          <w:w w:val="120"/>
          <w:sz w:val="18"/>
        </w:rPr>
        <w:t> </w:t>
      </w:r>
      <w:r>
        <w:rPr>
          <w:rFonts w:ascii="Calibri"/>
          <w:b/>
          <w:color w:val="232323"/>
          <w:w w:val="110"/>
          <w:sz w:val="18"/>
        </w:rPr>
        <w:t>of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Science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Finance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and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Human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Resources</w:t>
      </w:r>
      <w:r>
        <w:rPr>
          <w:rFonts w:ascii="Calibri"/>
          <w:b/>
          <w:color w:val="232323"/>
          <w:spacing w:val="49"/>
          <w:w w:val="120"/>
          <w:sz w:val="18"/>
        </w:rPr>
        <w:t> </w:t>
      </w:r>
      <w:r>
        <w:rPr>
          <w:rFonts w:ascii="Calibri"/>
          <w:b/>
          <w:color w:val="232323"/>
          <w:sz w:val="18"/>
        </w:rPr>
        <w:t>|</w:t>
      </w:r>
      <w:r>
        <w:rPr>
          <w:rFonts w:ascii="Calibri"/>
          <w:b/>
          <w:color w:val="232323"/>
          <w:spacing w:val="53"/>
          <w:w w:val="110"/>
          <w:sz w:val="18"/>
        </w:rPr>
        <w:t> </w:t>
      </w:r>
      <w:r>
        <w:rPr>
          <w:rFonts w:ascii="Calibri"/>
          <w:b/>
          <w:color w:val="232323"/>
          <w:spacing w:val="-4"/>
          <w:w w:val="110"/>
          <w:sz w:val="18"/>
        </w:rPr>
        <w:t>2012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sz w:val="22"/>
        </w:rPr>
        <w:t>Arizona</w:t>
      </w:r>
      <w:r>
        <w:rPr>
          <w:color w:val="232323"/>
          <w:spacing w:val="-5"/>
          <w:sz w:val="22"/>
        </w:rPr>
        <w:t> </w:t>
      </w:r>
      <w:r>
        <w:rPr>
          <w:color w:val="232323"/>
          <w:sz w:val="22"/>
        </w:rPr>
        <w:t>State</w:t>
      </w:r>
      <w:r>
        <w:rPr>
          <w:color w:val="232323"/>
          <w:spacing w:val="-6"/>
          <w:sz w:val="22"/>
        </w:rPr>
        <w:t> </w:t>
      </w:r>
      <w:r>
        <w:rPr>
          <w:color w:val="232323"/>
          <w:sz w:val="22"/>
        </w:rPr>
        <w:t>University,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Tempe,</w:t>
      </w:r>
      <w:r>
        <w:rPr>
          <w:color w:val="232323"/>
          <w:spacing w:val="-13"/>
          <w:sz w:val="22"/>
        </w:rPr>
        <w:t> </w:t>
      </w:r>
      <w:r>
        <w:rPr>
          <w:color w:val="232323"/>
          <w:spacing w:val="-5"/>
          <w:sz w:val="22"/>
        </w:rPr>
        <w:t>AZ</w:t>
      </w:r>
    </w:p>
    <w:sectPr>
      <w:type w:val="continuous"/>
      <w:pgSz w:w="11920" w:h="16860"/>
      <w:pgMar w:top="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114" w:right="1109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2025-11-09T18:48:22Z</dcterms:created>
  <dcterms:modified xsi:type="dcterms:W3CDTF">2025-11-09T18:48:22Z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