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7"/>
        </w:rPr>
      </w:pPr>
    </w:p>
    <w:p>
      <w:pPr>
        <w:pStyle w:val="BodyText"/>
        <w:spacing w:before="364"/>
        <w:rPr>
          <w:rFonts w:ascii="Times New Roman"/>
          <w:sz w:val="37"/>
        </w:rPr>
      </w:pPr>
    </w:p>
    <w:p>
      <w:pPr>
        <w:pStyle w:val="Title"/>
      </w:pPr>
      <w:r>
        <w:rPr>
          <w:color w:val="A2B8DE"/>
          <w:w w:val="90"/>
        </w:rPr>
        <w:t>Avery</w:t>
      </w:r>
      <w:r>
        <w:rPr>
          <w:color w:val="A2B8DE"/>
          <w:spacing w:val="7"/>
        </w:rPr>
        <w:t> </w:t>
      </w:r>
      <w:r>
        <w:rPr>
          <w:color w:val="A2B8DE"/>
          <w:spacing w:val="-2"/>
        </w:rPr>
        <w:t>Harris</w:t>
      </w:r>
    </w:p>
    <w:p>
      <w:pPr>
        <w:spacing w:before="51"/>
        <w:ind w:left="4" w:right="1" w:firstLine="0"/>
        <w:jc w:val="center"/>
        <w:rPr>
          <w:rFonts w:ascii="Verdana"/>
          <w:b/>
          <w:sz w:val="20"/>
        </w:rPr>
      </w:pPr>
      <w:r>
        <w:rPr>
          <w:rFonts w:ascii="Verdana"/>
          <w:b/>
          <w:spacing w:val="-6"/>
          <w:sz w:val="20"/>
        </w:rPr>
        <w:t>Human</w:t>
      </w:r>
      <w:r>
        <w:rPr>
          <w:rFonts w:ascii="Verdana"/>
          <w:b/>
          <w:spacing w:val="-9"/>
          <w:sz w:val="20"/>
        </w:rPr>
        <w:t> </w:t>
      </w:r>
      <w:r>
        <w:rPr>
          <w:rFonts w:ascii="Verdana"/>
          <w:b/>
          <w:spacing w:val="-6"/>
          <w:sz w:val="20"/>
        </w:rPr>
        <w:t>Resources</w:t>
      </w:r>
      <w:r>
        <w:rPr>
          <w:rFonts w:ascii="Verdana"/>
          <w:b/>
          <w:spacing w:val="-9"/>
          <w:sz w:val="20"/>
        </w:rPr>
        <w:t> </w:t>
      </w:r>
      <w:r>
        <w:rPr>
          <w:rFonts w:ascii="Verdana"/>
          <w:b/>
          <w:spacing w:val="-6"/>
          <w:sz w:val="20"/>
        </w:rPr>
        <w:t>Director</w:t>
      </w:r>
    </w:p>
    <w:p>
      <w:pPr>
        <w:pStyle w:val="BodyText"/>
        <w:spacing w:before="157"/>
        <w:ind w:left="4" w:right="1"/>
        <w:jc w:val="center"/>
      </w:pPr>
      <w:r>
        <w:rPr>
          <w:color w:val="A2B8DE"/>
          <w:spacing w:val="-11"/>
        </w:rPr>
        <w:t>City,</w:t>
      </w:r>
      <w:r>
        <w:rPr>
          <w:color w:val="A2B8DE"/>
          <w:spacing w:val="-1"/>
        </w:rPr>
        <w:t> </w:t>
      </w:r>
      <w:r>
        <w:rPr>
          <w:color w:val="A2B8DE"/>
          <w:spacing w:val="-5"/>
        </w:rPr>
        <w:t>ST</w:t>
      </w:r>
    </w:p>
    <w:p>
      <w:pPr>
        <w:pStyle w:val="BodyText"/>
        <w:tabs>
          <w:tab w:pos="3785" w:val="left" w:leader="none"/>
          <w:tab w:pos="8393" w:val="left" w:leader="none"/>
        </w:tabs>
        <w:spacing w:before="254"/>
        <w:ind w:left="118"/>
      </w:pPr>
      <w:r>
        <w:rPr>
          <w:color w:val="A2B8DE"/>
          <w:spacing w:val="-4"/>
        </w:rPr>
        <w:t>(123)</w:t>
      </w:r>
      <w:r>
        <w:rPr>
          <w:color w:val="A2B8DE"/>
          <w:spacing w:val="-7"/>
        </w:rPr>
        <w:t> </w:t>
      </w:r>
      <w:r>
        <w:rPr>
          <w:color w:val="A2B8DE"/>
          <w:spacing w:val="-4"/>
        </w:rPr>
        <w:t>456-7890</w:t>
      </w:r>
      <w:r>
        <w:rPr>
          <w:color w:val="A2B8DE"/>
        </w:rPr>
        <w:tab/>
      </w:r>
      <w:hyperlink r:id="rId5">
        <w:r>
          <w:rPr>
            <w:color w:val="A2B8DE"/>
            <w:spacing w:val="-2"/>
          </w:rPr>
          <w:t>email@email.com</w:t>
        </w:r>
      </w:hyperlink>
      <w:r>
        <w:rPr>
          <w:color w:val="A2B8DE"/>
        </w:rPr>
        <w:tab/>
      </w:r>
      <w:r>
        <w:rPr>
          <w:color w:val="A2B8DE"/>
          <w:spacing w:val="-2"/>
        </w:rPr>
        <w:t>LinkedIn</w:t>
      </w:r>
    </w:p>
    <w:p>
      <w:pPr>
        <w:pStyle w:val="BodyText"/>
        <w:spacing w:before="6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93239</wp:posOffset>
                </wp:positionV>
                <wp:extent cx="5876925" cy="2857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87692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28575">
                              <a:moveTo>
                                <a:pt x="5876924" y="28574"/>
                              </a:moveTo>
                              <a:lnTo>
                                <a:pt x="0" y="2857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7.341717pt;width:462.749963pt;height:2.25pt;mso-position-horizontal-relative:page;mso-position-vertical-relative:paragraph;z-index:-15728640;mso-wrap-distance-left:0;mso-wrap-distance-right:0" id="docshape1" filled="true" fillcolor="#a2b8de" stroked="false">
                <v:fill type="solid"/>
                <w10:wrap type="topAndBottom"/>
              </v:rect>
            </w:pict>
          </mc:Fallback>
        </mc:AlternateContent>
      </w:r>
    </w:p>
    <w:p>
      <w:pPr>
        <w:spacing w:line="280" w:lineRule="auto" w:before="228"/>
        <w:ind w:left="118" w:right="284" w:firstLine="0"/>
        <w:jc w:val="left"/>
        <w:rPr>
          <w:b/>
          <w:sz w:val="22"/>
        </w:rPr>
      </w:pPr>
      <w:r>
        <w:rPr>
          <w:b/>
          <w:w w:val="105"/>
          <w:sz w:val="22"/>
        </w:rPr>
        <w:t>Human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Resources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Director</w:t>
      </w:r>
      <w:r>
        <w:rPr>
          <w:b/>
          <w:spacing w:val="-19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over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14</w:t>
      </w:r>
      <w:r>
        <w:rPr>
          <w:b/>
          <w:spacing w:val="-13"/>
          <w:w w:val="105"/>
          <w:sz w:val="22"/>
        </w:rPr>
        <w:t> </w:t>
      </w:r>
      <w:r>
        <w:rPr>
          <w:b/>
          <w:w w:val="105"/>
          <w:sz w:val="22"/>
        </w:rPr>
        <w:t>years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of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experience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developing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people strategies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for</w:t>
      </w:r>
      <w:r>
        <w:rPr>
          <w:b/>
          <w:spacing w:val="-21"/>
          <w:w w:val="105"/>
          <w:sz w:val="22"/>
        </w:rPr>
        <w:t> </w:t>
      </w:r>
      <w:r>
        <w:rPr>
          <w:b/>
          <w:w w:val="105"/>
          <w:sz w:val="22"/>
        </w:rPr>
        <w:t>global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teams.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Specialized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in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executive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coaching,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DEI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programming,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and cross-border</w:t>
      </w:r>
      <w:r>
        <w:rPr>
          <w:b/>
          <w:spacing w:val="-14"/>
          <w:w w:val="105"/>
          <w:sz w:val="22"/>
        </w:rPr>
        <w:t> </w:t>
      </w:r>
      <w:r>
        <w:rPr>
          <w:b/>
          <w:w w:val="105"/>
          <w:sz w:val="22"/>
        </w:rPr>
        <w:t>compliance.</w:t>
      </w:r>
    </w:p>
    <w:p>
      <w:pPr>
        <w:pStyle w:val="BodyText"/>
        <w:rPr>
          <w:b/>
        </w:rPr>
      </w:pPr>
    </w:p>
    <w:p>
      <w:pPr>
        <w:pStyle w:val="BodyText"/>
        <w:spacing w:before="83"/>
        <w:rPr>
          <w:b/>
        </w:rPr>
      </w:pPr>
    </w:p>
    <w:p>
      <w:pPr>
        <w:pStyle w:val="Heading1"/>
      </w:pPr>
      <w:r>
        <w:rPr>
          <w:color w:val="A2B8DE"/>
          <w:spacing w:val="-13"/>
        </w:rPr>
        <w:t>Key</w:t>
      </w:r>
      <w:r>
        <w:rPr>
          <w:color w:val="A2B8DE"/>
          <w:spacing w:val="-9"/>
        </w:rPr>
        <w:t> </w:t>
      </w:r>
      <w:r>
        <w:rPr>
          <w:color w:val="A2B8DE"/>
          <w:spacing w:val="-2"/>
        </w:rPr>
        <w:t>Skills</w:t>
      </w:r>
    </w:p>
    <w:p>
      <w:pPr>
        <w:pStyle w:val="BodyText"/>
        <w:spacing w:before="10"/>
        <w:rPr>
          <w:rFonts w:ascii="Verdana"/>
          <w:b/>
          <w:sz w:val="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60635</wp:posOffset>
                </wp:positionV>
                <wp:extent cx="587692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4.774415pt;width:462.749963pt;height:.75pt;mso-position-horizontal-relative:page;mso-position-vertical-relative:paragraph;z-index:-15728128;mso-wrap-distance-left:0;mso-wrap-distance-right:0" id="docshape2" filled="true" fillcolor="#a2b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6"/>
        <w:rPr>
          <w:rFonts w:ascii="Verdana"/>
          <w:b/>
          <w:sz w:val="11"/>
        </w:rPr>
      </w:pPr>
    </w:p>
    <w:p>
      <w:pPr>
        <w:spacing w:after="0"/>
        <w:rPr>
          <w:rFonts w:ascii="Verdana"/>
          <w:sz w:val="11"/>
        </w:rPr>
        <w:sectPr>
          <w:type w:val="continuous"/>
          <w:pgSz w:w="11920" w:h="16860"/>
          <w:pgMar w:top="0" w:bottom="280" w:left="1220" w:right="1220"/>
        </w:sectPr>
      </w:pPr>
    </w:p>
    <w:p>
      <w:pPr>
        <w:pStyle w:val="BodyText"/>
        <w:spacing w:line="280" w:lineRule="auto" w:before="103"/>
        <w:ind w:left="118" w:right="38"/>
      </w:pPr>
      <w:r>
        <w:rPr>
          <w:spacing w:val="-2"/>
          <w:w w:val="110"/>
        </w:rPr>
        <w:t>Change </w:t>
      </w:r>
      <w:r>
        <w:rPr>
          <w:spacing w:val="-2"/>
        </w:rPr>
        <w:t>management</w:t>
      </w:r>
    </w:p>
    <w:p>
      <w:pPr>
        <w:pStyle w:val="BodyText"/>
        <w:spacing w:line="280" w:lineRule="auto" w:before="103"/>
        <w:ind w:left="118" w:right="3032"/>
      </w:pPr>
      <w:r>
        <w:rPr/>
        <w:br w:type="column"/>
      </w:r>
      <w:r>
        <w:rPr>
          <w:w w:val="105"/>
        </w:rPr>
        <w:t>Coaching and </w:t>
      </w:r>
      <w:r>
        <w:rPr>
          <w:spacing w:val="-2"/>
          <w:w w:val="105"/>
        </w:rPr>
        <w:t>mentoring</w:t>
      </w:r>
    </w:p>
    <w:p>
      <w:pPr>
        <w:spacing w:after="0" w:line="280" w:lineRule="auto"/>
        <w:sectPr>
          <w:type w:val="continuous"/>
          <w:pgSz w:w="11920" w:h="16860"/>
          <w:pgMar w:top="0" w:bottom="280" w:left="1220" w:right="1220"/>
          <w:cols w:num="2" w:equalWidth="0">
            <w:col w:w="1546" w:space="3355"/>
            <w:col w:w="4579"/>
          </w:cols>
        </w:sectPr>
      </w:pPr>
    </w:p>
    <w:p>
      <w:pPr>
        <w:pStyle w:val="BodyText"/>
        <w:tabs>
          <w:tab w:pos="5020" w:val="left" w:leader="none"/>
        </w:tabs>
        <w:spacing w:line="353" w:lineRule="exact" w:before="93"/>
        <w:ind w:left="1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3333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568565" cy="333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33375">
                              <a:moveTo>
                                <a:pt x="7568183" y="333374"/>
                              </a:moveTo>
                              <a:lnTo>
                                <a:pt x="0" y="3333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3333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26.249997pt;mso-position-horizontal-relative:page;mso-position-vertical-relative:page;z-index:15730688" id="docshape3" filled="true" fillcolor="#a2b8de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-257452</wp:posOffset>
                </wp:positionV>
                <wp:extent cx="1400175" cy="1143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81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-20.271887pt;width:110.25pt;height:9pt;mso-position-horizontal-relative:page;mso-position-vertical-relative:paragraph;z-index:15731200" id="docshapegroup4" coordorigin="3480,-405" coordsize="2205,180">
                <v:rect style="position:absolute;left:3487;top:-398;width:2190;height:165" id="docshape5" filled="false" stroked="true" strokeweight=".75pt" strokecolor="#a2b8de">
                  <v:stroke dashstyle="solid"/>
                </v:rect>
                <v:rect style="position:absolute;left:3495;top:-391;width:2175;height:165" id="docshape6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-257452</wp:posOffset>
                </wp:positionV>
                <wp:extent cx="1400175" cy="1143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0.271887pt;width:110.25pt;height:9pt;mso-position-horizontal-relative:page;mso-position-vertical-relative:paragraph;z-index:15731712" id="docshapegroup7" coordorigin="8385,-405" coordsize="2205,180">
                <v:rect style="position:absolute;left:8392;top:-398;width:2190;height:165" id="docshape8" filled="false" stroked="true" strokeweight=".75pt" strokecolor="#a2b8de">
                  <v:stroke dashstyle="solid"/>
                </v:rect>
                <v:rect style="position:absolute;left:8400;top:-391;width:1740;height:165" id="docshape9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2209799</wp:posOffset>
                </wp:positionH>
                <wp:positionV relativeFrom="paragraph">
                  <wp:posOffset>171172</wp:posOffset>
                </wp:positionV>
                <wp:extent cx="1400175" cy="12382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1049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14300">
                                <a:moveTo>
                                  <a:pt x="110489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3.478111pt;width:110.25pt;height:9.75pt;mso-position-horizontal-relative:page;mso-position-vertical-relative:paragraph;z-index:-15775232" id="docshapegroup10" coordorigin="3480,270" coordsize="2205,195">
                <v:rect style="position:absolute;left:3487;top:277;width:2190;height:180" id="docshape11" filled="false" stroked="true" strokeweight=".75pt" strokecolor="#a2b8de">
                  <v:stroke dashstyle="solid"/>
                </v:rect>
                <v:rect style="position:absolute;left:3495;top:284;width:1740;height:180" id="docshape12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5324474</wp:posOffset>
                </wp:positionH>
                <wp:positionV relativeFrom="paragraph">
                  <wp:posOffset>171172</wp:posOffset>
                </wp:positionV>
                <wp:extent cx="1400175" cy="12382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8286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14300">
                                <a:moveTo>
                                  <a:pt x="82867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3.478111pt;width:110.25pt;height:9.75pt;mso-position-horizontal-relative:page;mso-position-vertical-relative:paragraph;z-index:15732736" id="docshapegroup13" coordorigin="8385,270" coordsize="2205,195">
                <v:rect style="position:absolute;left:8392;top:277;width:2190;height:180" id="docshape14" filled="false" stroked="true" strokeweight=".75pt" strokecolor="#a2b8de">
                  <v:stroke dashstyle="solid"/>
                </v:rect>
                <v:rect style="position:absolute;left:8400;top:284;width:1305;height:180" id="docshape15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DEI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initiatives</w:t>
      </w:r>
      <w:r>
        <w:rPr/>
        <w:tab/>
      </w:r>
      <w:r>
        <w:rPr>
          <w:w w:val="105"/>
          <w:position w:val="15"/>
        </w:rPr>
        <w:t>Employee</w:t>
      </w:r>
      <w:r>
        <w:rPr>
          <w:spacing w:val="20"/>
          <w:w w:val="105"/>
          <w:position w:val="15"/>
        </w:rPr>
        <w:t> </w:t>
      </w:r>
      <w:r>
        <w:rPr>
          <w:spacing w:val="-5"/>
          <w:w w:val="105"/>
          <w:position w:val="15"/>
        </w:rPr>
        <w:t>and</w:t>
      </w:r>
    </w:p>
    <w:p>
      <w:pPr>
        <w:pStyle w:val="BodyText"/>
        <w:spacing w:line="203" w:lineRule="exact"/>
        <w:ind w:left="5020"/>
      </w:pPr>
      <w:r>
        <w:rPr/>
        <w:t>labor</w:t>
      </w:r>
      <w:r>
        <w:rPr>
          <w:spacing w:val="3"/>
        </w:rPr>
        <w:t> </w:t>
      </w:r>
      <w:r>
        <w:rPr>
          <w:spacing w:val="-2"/>
        </w:rPr>
        <w:t>relations</w:t>
      </w:r>
    </w:p>
    <w:p>
      <w:pPr>
        <w:pStyle w:val="BodyText"/>
        <w:spacing w:line="280" w:lineRule="auto" w:before="134"/>
        <w:ind w:left="118" w:right="665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2209799</wp:posOffset>
                </wp:positionH>
                <wp:positionV relativeFrom="paragraph">
                  <wp:posOffset>197556</wp:posOffset>
                </wp:positionV>
                <wp:extent cx="1400175" cy="12382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2B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524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5.555647pt;width:110.25pt;height:9.75pt;mso-position-horizontal-relative:page;mso-position-vertical-relative:paragraph;z-index:15733248" id="docshapegroup16" coordorigin="3480,311" coordsize="2205,195">
                <v:rect style="position:absolute;left:3487;top:318;width:2190;height:180" id="docshape17" filled="false" stroked="true" strokeweight=".75pt" strokecolor="#a2b8de">
                  <v:stroke dashstyle="solid"/>
                </v:rect>
                <v:rect style="position:absolute;left:3495;top:326;width:870;height:165" id="docshape18" filled="true" fillcolor="#a2b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</w:rPr>
        <w:t>Organizational </w:t>
      </w:r>
      <w:r>
        <w:rPr>
          <w:spacing w:val="-2"/>
          <w:w w:val="105"/>
        </w:rPr>
        <w:t>development</w:t>
      </w:r>
    </w:p>
    <w:p>
      <w:pPr>
        <w:pStyle w:val="BodyText"/>
        <w:spacing w:before="171"/>
        <w:rPr>
          <w:sz w:val="26"/>
        </w:rPr>
      </w:pPr>
    </w:p>
    <w:p>
      <w:pPr>
        <w:pStyle w:val="Heading1"/>
      </w:pPr>
      <w:r>
        <w:rPr>
          <w:color w:val="A2B8DE"/>
          <w:w w:val="90"/>
        </w:rPr>
        <w:t>Professional</w:t>
      </w:r>
      <w:r>
        <w:rPr>
          <w:color w:val="A2B8DE"/>
          <w:spacing w:val="45"/>
        </w:rPr>
        <w:t> </w:t>
      </w:r>
      <w:r>
        <w:rPr>
          <w:color w:val="A2B8DE"/>
          <w:spacing w:val="-2"/>
        </w:rPr>
        <w:t>Experience</w:t>
      </w:r>
    </w:p>
    <w:p>
      <w:pPr>
        <w:pStyle w:val="BodyText"/>
        <w:spacing w:before="10"/>
        <w:rPr>
          <w:rFonts w:ascii="Verdana"/>
          <w:b/>
          <w:sz w:val="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60630</wp:posOffset>
                </wp:positionV>
                <wp:extent cx="5876925" cy="9525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4.77404pt;width:462.749963pt;height:.75pt;mso-position-horizontal-relative:page;mso-position-vertical-relative:paragraph;z-index:-15727616;mso-wrap-distance-left:0;mso-wrap-distance-right:0" id="docshape19" filled="true" fillcolor="#a2b8de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219"/>
        <w:ind w:left="118" w:right="0" w:firstLine="0"/>
        <w:jc w:val="left"/>
        <w:rPr>
          <w:rFonts w:ascii="Verdana"/>
          <w:b/>
          <w:sz w:val="20"/>
        </w:rPr>
      </w:pPr>
      <w:r>
        <w:rPr>
          <w:rFonts w:ascii="Verdana"/>
          <w:b/>
          <w:color w:val="A2B8DE"/>
          <w:spacing w:val="-6"/>
          <w:sz w:val="20"/>
        </w:rPr>
        <w:t>Director</w:t>
      </w:r>
      <w:r>
        <w:rPr>
          <w:rFonts w:ascii="Verdana"/>
          <w:b/>
          <w:color w:val="A2B8DE"/>
          <w:spacing w:val="-7"/>
          <w:sz w:val="20"/>
        </w:rPr>
        <w:t> </w:t>
      </w:r>
      <w:r>
        <w:rPr>
          <w:rFonts w:ascii="Verdana"/>
          <w:b/>
          <w:color w:val="A2B8DE"/>
          <w:spacing w:val="-6"/>
          <w:sz w:val="20"/>
        </w:rPr>
        <w:t>of Human Resources</w:t>
      </w:r>
    </w:p>
    <w:p>
      <w:pPr>
        <w:tabs>
          <w:tab w:pos="7096" w:val="left" w:leader="none"/>
        </w:tabs>
        <w:spacing w:before="96"/>
        <w:ind w:left="118" w:right="0" w:firstLine="0"/>
        <w:jc w:val="left"/>
        <w:rPr>
          <w:i/>
          <w:sz w:val="22"/>
        </w:rPr>
      </w:pPr>
      <w:r>
        <w:rPr>
          <w:i/>
          <w:color w:val="A2B8DE"/>
          <w:spacing w:val="-6"/>
          <w:sz w:val="22"/>
        </w:rPr>
        <w:t>Triton</w:t>
      </w:r>
      <w:r>
        <w:rPr>
          <w:i/>
          <w:color w:val="A2B8DE"/>
          <w:spacing w:val="-15"/>
          <w:sz w:val="22"/>
        </w:rPr>
        <w:t> </w:t>
      </w:r>
      <w:r>
        <w:rPr>
          <w:i/>
          <w:color w:val="A2B8DE"/>
          <w:spacing w:val="-6"/>
          <w:sz w:val="22"/>
        </w:rPr>
        <w:t>Tech Enterprises,</w:t>
      </w:r>
      <w:r>
        <w:rPr>
          <w:i/>
          <w:color w:val="A2B8DE"/>
          <w:spacing w:val="-7"/>
          <w:sz w:val="22"/>
        </w:rPr>
        <w:t> </w:t>
      </w:r>
      <w:r>
        <w:rPr>
          <w:i/>
          <w:color w:val="A2B8DE"/>
          <w:spacing w:val="-6"/>
          <w:sz w:val="22"/>
        </w:rPr>
        <w:t>New</w:t>
      </w:r>
      <w:r>
        <w:rPr>
          <w:i/>
          <w:color w:val="A2B8DE"/>
          <w:spacing w:val="-21"/>
          <w:sz w:val="22"/>
        </w:rPr>
        <w:t> </w:t>
      </w:r>
      <w:r>
        <w:rPr>
          <w:i/>
          <w:color w:val="A2B8DE"/>
          <w:spacing w:val="-6"/>
          <w:sz w:val="22"/>
        </w:rPr>
        <w:t>York, NY</w:t>
      </w:r>
      <w:r>
        <w:rPr>
          <w:i/>
          <w:color w:val="A2B8DE"/>
          <w:sz w:val="22"/>
        </w:rPr>
        <w:tab/>
        <w:t>January</w:t>
      </w:r>
      <w:r>
        <w:rPr>
          <w:i/>
          <w:color w:val="A2B8DE"/>
          <w:spacing w:val="-8"/>
          <w:sz w:val="22"/>
        </w:rPr>
        <w:t> </w:t>
      </w:r>
      <w:r>
        <w:rPr>
          <w:i/>
          <w:color w:val="A2B8DE"/>
          <w:sz w:val="22"/>
        </w:rPr>
        <w:t>2018</w:t>
      </w:r>
      <w:r>
        <w:rPr>
          <w:i/>
          <w:color w:val="A2B8DE"/>
          <w:spacing w:val="-3"/>
          <w:sz w:val="22"/>
        </w:rPr>
        <w:t> </w:t>
      </w:r>
      <w:r>
        <w:rPr>
          <w:i/>
          <w:color w:val="A2B8DE"/>
          <w:sz w:val="22"/>
        </w:rPr>
        <w:t>-</w:t>
      </w:r>
      <w:r>
        <w:rPr>
          <w:i/>
          <w:color w:val="A2B8DE"/>
          <w:spacing w:val="-3"/>
          <w:sz w:val="22"/>
        </w:rPr>
        <w:t> </w:t>
      </w:r>
      <w:r>
        <w:rPr>
          <w:i/>
          <w:color w:val="A2B8DE"/>
          <w:spacing w:val="-2"/>
          <w:sz w:val="22"/>
        </w:rPr>
        <w:t>Present</w:t>
      </w:r>
    </w:p>
    <w:p>
      <w:pPr>
        <w:pStyle w:val="BodyText"/>
        <w:tabs>
          <w:tab w:pos="490" w:val="left" w:leader="none"/>
        </w:tabs>
        <w:spacing w:line="280" w:lineRule="auto" w:before="150"/>
        <w:ind w:left="490" w:right="851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Designed and led a global DEI initiative to better connect talent with opportunity across 12 countries</w:t>
      </w:r>
    </w:p>
    <w:p>
      <w:pPr>
        <w:pStyle w:val="BodyText"/>
        <w:tabs>
          <w:tab w:pos="490" w:val="left" w:leader="none"/>
        </w:tabs>
        <w:spacing w:line="280" w:lineRule="auto" w:before="92"/>
        <w:ind w:left="490" w:right="851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Coached</w:t>
      </w:r>
      <w:r>
        <w:rPr>
          <w:spacing w:val="-8"/>
          <w:w w:val="105"/>
        </w:rPr>
        <w:t> </w:t>
      </w:r>
      <w:r>
        <w:rPr>
          <w:w w:val="105"/>
        </w:rPr>
        <w:t>department</w:t>
      </w:r>
      <w:r>
        <w:rPr>
          <w:spacing w:val="-8"/>
          <w:w w:val="105"/>
        </w:rPr>
        <w:t> </w:t>
      </w:r>
      <w:r>
        <w:rPr>
          <w:w w:val="105"/>
        </w:rPr>
        <w:t>heads</w:t>
      </w:r>
      <w:r>
        <w:rPr>
          <w:spacing w:val="-8"/>
          <w:w w:val="105"/>
        </w:rPr>
        <w:t> </w:t>
      </w:r>
      <w:r>
        <w:rPr>
          <w:w w:val="105"/>
        </w:rPr>
        <w:t>on</w:t>
      </w:r>
      <w:r>
        <w:rPr>
          <w:spacing w:val="-8"/>
          <w:w w:val="105"/>
        </w:rPr>
        <w:t> </w:t>
      </w:r>
      <w:r>
        <w:rPr>
          <w:w w:val="105"/>
        </w:rPr>
        <w:t>leadership</w:t>
      </w:r>
      <w:r>
        <w:rPr>
          <w:spacing w:val="-8"/>
          <w:w w:val="105"/>
        </w:rPr>
        <w:t> </w:t>
      </w:r>
      <w:r>
        <w:rPr>
          <w:w w:val="105"/>
        </w:rPr>
        <w:t>best</w:t>
      </w:r>
      <w:r>
        <w:rPr>
          <w:spacing w:val="-8"/>
          <w:w w:val="105"/>
        </w:rPr>
        <w:t> </w:t>
      </w:r>
      <w:r>
        <w:rPr>
          <w:w w:val="105"/>
        </w:rPr>
        <w:t>practices,</w:t>
      </w:r>
      <w:r>
        <w:rPr>
          <w:spacing w:val="-8"/>
          <w:w w:val="105"/>
        </w:rPr>
        <w:t> </w:t>
      </w:r>
      <w:r>
        <w:rPr>
          <w:w w:val="105"/>
        </w:rPr>
        <w:t>contributing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a</w:t>
      </w:r>
      <w:r>
        <w:rPr>
          <w:spacing w:val="-8"/>
          <w:w w:val="105"/>
        </w:rPr>
        <w:t> </w:t>
      </w:r>
      <w:r>
        <w:rPr>
          <w:w w:val="105"/>
        </w:rPr>
        <w:t>40% improvement in team engagement scores</w:t>
      </w:r>
    </w:p>
    <w:p>
      <w:pPr>
        <w:pStyle w:val="BodyText"/>
        <w:tabs>
          <w:tab w:pos="490" w:val="left" w:leader="none"/>
        </w:tabs>
        <w:spacing w:line="280" w:lineRule="auto" w:before="92"/>
        <w:ind w:left="490" w:right="491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Oversaw a department restructure that saved $1.2 million annually through attrition and reorganization</w:t>
      </w:r>
    </w:p>
    <w:p>
      <w:pPr>
        <w:spacing w:before="203"/>
        <w:ind w:left="118" w:right="0" w:firstLine="0"/>
        <w:jc w:val="left"/>
        <w:rPr>
          <w:rFonts w:ascii="Verdana"/>
          <w:b/>
          <w:sz w:val="20"/>
        </w:rPr>
      </w:pPr>
      <w:r>
        <w:rPr>
          <w:rFonts w:ascii="Verdana"/>
          <w:b/>
          <w:color w:val="A2B8DE"/>
          <w:spacing w:val="-6"/>
          <w:sz w:val="20"/>
        </w:rPr>
        <w:t>HR</w:t>
      </w:r>
      <w:r>
        <w:rPr>
          <w:rFonts w:ascii="Verdana"/>
          <w:b/>
          <w:color w:val="A2B8DE"/>
          <w:spacing w:val="-10"/>
          <w:sz w:val="20"/>
        </w:rPr>
        <w:t> </w:t>
      </w:r>
      <w:r>
        <w:rPr>
          <w:rFonts w:ascii="Verdana"/>
          <w:b/>
          <w:color w:val="A2B8DE"/>
          <w:spacing w:val="-2"/>
          <w:sz w:val="20"/>
        </w:rPr>
        <w:t>Manager</w:t>
      </w:r>
    </w:p>
    <w:p>
      <w:pPr>
        <w:tabs>
          <w:tab w:pos="6055" w:val="left" w:leader="none"/>
        </w:tabs>
        <w:spacing w:before="96"/>
        <w:ind w:left="118" w:right="0" w:firstLine="0"/>
        <w:jc w:val="left"/>
        <w:rPr>
          <w:i/>
          <w:sz w:val="22"/>
        </w:rPr>
      </w:pPr>
      <w:r>
        <w:rPr>
          <w:i/>
          <w:color w:val="A2B8DE"/>
          <w:spacing w:val="-4"/>
          <w:sz w:val="22"/>
        </w:rPr>
        <w:t>Verto</w:t>
      </w:r>
      <w:r>
        <w:rPr>
          <w:i/>
          <w:color w:val="A2B8DE"/>
          <w:spacing w:val="-7"/>
          <w:sz w:val="22"/>
        </w:rPr>
        <w:t> </w:t>
      </w:r>
      <w:r>
        <w:rPr>
          <w:i/>
          <w:color w:val="A2B8DE"/>
          <w:spacing w:val="-4"/>
          <w:sz w:val="22"/>
        </w:rPr>
        <w:t>Consulting,</w:t>
      </w:r>
      <w:r>
        <w:rPr>
          <w:i/>
          <w:color w:val="A2B8DE"/>
          <w:spacing w:val="-7"/>
          <w:sz w:val="22"/>
        </w:rPr>
        <w:t> </w:t>
      </w:r>
      <w:r>
        <w:rPr>
          <w:i/>
          <w:color w:val="A2B8DE"/>
          <w:spacing w:val="-4"/>
          <w:sz w:val="22"/>
        </w:rPr>
        <w:t>Stamford,</w:t>
      </w:r>
      <w:r>
        <w:rPr>
          <w:i/>
          <w:color w:val="A2B8DE"/>
          <w:spacing w:val="-6"/>
          <w:sz w:val="22"/>
        </w:rPr>
        <w:t> </w:t>
      </w:r>
      <w:r>
        <w:rPr>
          <w:i/>
          <w:color w:val="A2B8DE"/>
          <w:spacing w:val="-5"/>
          <w:sz w:val="22"/>
        </w:rPr>
        <w:t>CT</w:t>
      </w:r>
      <w:r>
        <w:rPr>
          <w:i/>
          <w:color w:val="A2B8DE"/>
          <w:sz w:val="22"/>
        </w:rPr>
        <w:tab/>
        <w:t>September</w:t>
      </w:r>
      <w:r>
        <w:rPr>
          <w:i/>
          <w:color w:val="A2B8DE"/>
          <w:spacing w:val="-12"/>
          <w:sz w:val="22"/>
        </w:rPr>
        <w:t> </w:t>
      </w:r>
      <w:r>
        <w:rPr>
          <w:i/>
          <w:color w:val="A2B8DE"/>
          <w:sz w:val="22"/>
        </w:rPr>
        <w:t>2011</w:t>
      </w:r>
      <w:r>
        <w:rPr>
          <w:i/>
          <w:color w:val="A2B8DE"/>
          <w:spacing w:val="-6"/>
          <w:sz w:val="22"/>
        </w:rPr>
        <w:t> </w:t>
      </w:r>
      <w:r>
        <w:rPr>
          <w:i/>
          <w:color w:val="A2B8DE"/>
          <w:sz w:val="22"/>
        </w:rPr>
        <w:t>-</w:t>
      </w:r>
      <w:r>
        <w:rPr>
          <w:i/>
          <w:color w:val="A2B8DE"/>
          <w:spacing w:val="-7"/>
          <w:sz w:val="22"/>
        </w:rPr>
        <w:t> </w:t>
      </w:r>
      <w:r>
        <w:rPr>
          <w:i/>
          <w:color w:val="A2B8DE"/>
          <w:sz w:val="22"/>
        </w:rPr>
        <w:t>December</w:t>
      </w:r>
      <w:r>
        <w:rPr>
          <w:i/>
          <w:color w:val="A2B8DE"/>
          <w:spacing w:val="-11"/>
          <w:sz w:val="22"/>
        </w:rPr>
        <w:t> </w:t>
      </w:r>
      <w:r>
        <w:rPr>
          <w:i/>
          <w:color w:val="A2B8DE"/>
          <w:spacing w:val="-4"/>
          <w:sz w:val="22"/>
        </w:rPr>
        <w:t>2017</w:t>
      </w:r>
    </w:p>
    <w:p>
      <w:pPr>
        <w:pStyle w:val="BodyText"/>
        <w:tabs>
          <w:tab w:pos="490" w:val="left" w:leader="none"/>
        </w:tabs>
        <w:spacing w:before="150"/>
        <w:ind w:left="14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Built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succession</w:t>
      </w:r>
      <w:r>
        <w:rPr>
          <w:spacing w:val="-13"/>
          <w:w w:val="105"/>
        </w:rPr>
        <w:t> </w:t>
      </w:r>
      <w:r>
        <w:rPr>
          <w:w w:val="105"/>
        </w:rPr>
        <w:t>planning</w:t>
      </w:r>
      <w:r>
        <w:rPr>
          <w:spacing w:val="-13"/>
          <w:w w:val="105"/>
        </w:rPr>
        <w:t> </w:t>
      </w:r>
      <w:r>
        <w:rPr>
          <w:w w:val="105"/>
        </w:rPr>
        <w:t>framework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8"/>
          <w:w w:val="105"/>
        </w:rPr>
        <w:t> </w:t>
      </w:r>
      <w:r>
        <w:rPr>
          <w:w w:val="105"/>
        </w:rPr>
        <w:t>over</w:t>
      </w:r>
      <w:r>
        <w:rPr>
          <w:spacing w:val="-18"/>
          <w:w w:val="105"/>
        </w:rPr>
        <w:t> </w:t>
      </w:r>
      <w:r>
        <w:rPr>
          <w:w w:val="105"/>
        </w:rPr>
        <w:t>250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employees</w:t>
      </w:r>
    </w:p>
    <w:p>
      <w:pPr>
        <w:pStyle w:val="BodyText"/>
        <w:tabs>
          <w:tab w:pos="490" w:val="left" w:leader="none"/>
        </w:tabs>
        <w:spacing w:line="367" w:lineRule="auto" w:before="134"/>
        <w:ind w:left="144" w:right="851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 a team of</w:t>
      </w:r>
      <w:r>
        <w:rPr>
          <w:spacing w:val="-4"/>
          <w:w w:val="105"/>
        </w:rPr>
        <w:t> </w:t>
      </w:r>
      <w:r>
        <w:rPr>
          <w:w w:val="105"/>
        </w:rPr>
        <w:t>five HR professionals and supported two company</w:t>
      </w:r>
      <w:r>
        <w:rPr>
          <w:spacing w:val="-5"/>
          <w:w w:val="105"/>
        </w:rPr>
        <w:t> </w:t>
      </w:r>
      <w:r>
        <w:rPr>
          <w:w w:val="105"/>
        </w:rPr>
        <w:t>mergers </w:t>
      </w: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Revamped disciplinary policies to improve legal compliance</w:t>
      </w:r>
    </w:p>
    <w:p>
      <w:pPr>
        <w:pStyle w:val="Heading1"/>
        <w:spacing w:before="289"/>
        <w:ind w:right="3"/>
      </w:pPr>
      <w:r>
        <w:rPr>
          <w:color w:val="A2B8DE"/>
          <w:spacing w:val="-2"/>
        </w:rPr>
        <w:t>Education</w:t>
      </w:r>
    </w:p>
    <w:p>
      <w:pPr>
        <w:pStyle w:val="BodyText"/>
        <w:spacing w:before="10"/>
        <w:rPr>
          <w:rFonts w:ascii="Verdana"/>
          <w:b/>
          <w:sz w:val="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847724</wp:posOffset>
                </wp:positionH>
                <wp:positionV relativeFrom="paragraph">
                  <wp:posOffset>60708</wp:posOffset>
                </wp:positionV>
                <wp:extent cx="5876925" cy="9525"/>
                <wp:effectExtent l="0" t="0" r="0" b="0"/>
                <wp:wrapTopAndBottom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B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4.780231pt;width:462.749963pt;height:.75pt;mso-position-horizontal-relative:page;mso-position-vertical-relative:paragraph;z-index:-15727104;mso-wrap-distance-left:0;mso-wrap-distance-right:0" id="docshape20" filled="true" fillcolor="#a2b8de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43"/>
        <w:ind w:left="118"/>
      </w:pPr>
      <w:r>
        <w:rPr/>
        <w:t>University</w:t>
      </w:r>
      <w:r>
        <w:rPr>
          <w:spacing w:val="-7"/>
        </w:rPr>
        <w:t> </w:t>
      </w:r>
      <w:r>
        <w:rPr/>
        <w:t>of</w:t>
      </w:r>
      <w:r>
        <w:rPr>
          <w:spacing w:val="-5"/>
        </w:rPr>
        <w:t> </w:t>
      </w:r>
      <w:r>
        <w:rPr/>
        <w:t>Connecticut,</w:t>
      </w:r>
      <w:r>
        <w:rPr>
          <w:spacing w:val="1"/>
        </w:rPr>
        <w:t> </w:t>
      </w:r>
      <w:r>
        <w:rPr/>
        <w:t>Storrs,</w:t>
      </w:r>
      <w:r>
        <w:rPr>
          <w:spacing w:val="1"/>
        </w:rPr>
        <w:t> </w:t>
      </w:r>
      <w:r>
        <w:rPr>
          <w:spacing w:val="-5"/>
        </w:rPr>
        <w:t>CT</w:t>
      </w:r>
    </w:p>
    <w:p>
      <w:pPr>
        <w:spacing w:before="125"/>
        <w:ind w:left="118" w:right="0" w:firstLine="0"/>
        <w:jc w:val="left"/>
        <w:rPr>
          <w:rFonts w:ascii="Verdana"/>
          <w:b/>
          <w:sz w:val="20"/>
        </w:rPr>
      </w:pPr>
      <w:r>
        <w:rPr>
          <w:rFonts w:ascii="Verdana"/>
          <w:b/>
          <w:color w:val="A2B8DE"/>
          <w:spacing w:val="-6"/>
          <w:sz w:val="20"/>
        </w:rPr>
        <w:t>Bachelor</w:t>
      </w:r>
      <w:r>
        <w:rPr>
          <w:rFonts w:ascii="Verdana"/>
          <w:b/>
          <w:color w:val="A2B8DE"/>
          <w:spacing w:val="-9"/>
          <w:sz w:val="20"/>
        </w:rPr>
        <w:t> </w:t>
      </w:r>
      <w:r>
        <w:rPr>
          <w:rFonts w:ascii="Verdana"/>
          <w:b/>
          <w:color w:val="A2B8DE"/>
          <w:spacing w:val="-6"/>
          <w:sz w:val="20"/>
        </w:rPr>
        <w:t>of</w:t>
      </w:r>
      <w:r>
        <w:rPr>
          <w:rFonts w:ascii="Verdana"/>
          <w:b/>
          <w:color w:val="A2B8DE"/>
          <w:spacing w:val="-9"/>
          <w:sz w:val="20"/>
        </w:rPr>
        <w:t> </w:t>
      </w:r>
      <w:r>
        <w:rPr>
          <w:rFonts w:ascii="Verdana"/>
          <w:b/>
          <w:color w:val="A2B8DE"/>
          <w:spacing w:val="-6"/>
          <w:sz w:val="20"/>
        </w:rPr>
        <w:t>Arts</w:t>
      </w:r>
      <w:r>
        <w:rPr>
          <w:rFonts w:ascii="Verdana"/>
          <w:b/>
          <w:color w:val="A2B8DE"/>
          <w:spacing w:val="-8"/>
          <w:sz w:val="20"/>
        </w:rPr>
        <w:t> </w:t>
      </w:r>
      <w:r>
        <w:rPr>
          <w:rFonts w:ascii="Verdana"/>
          <w:b/>
          <w:color w:val="A2B8DE"/>
          <w:spacing w:val="-6"/>
          <w:sz w:val="20"/>
        </w:rPr>
        <w:t>in</w:t>
      </w:r>
      <w:r>
        <w:rPr>
          <w:rFonts w:ascii="Verdana"/>
          <w:b/>
          <w:color w:val="A2B8DE"/>
          <w:spacing w:val="-9"/>
          <w:sz w:val="20"/>
        </w:rPr>
        <w:t> </w:t>
      </w:r>
      <w:r>
        <w:rPr>
          <w:rFonts w:ascii="Verdana"/>
          <w:b/>
          <w:color w:val="A2B8DE"/>
          <w:spacing w:val="-6"/>
          <w:sz w:val="20"/>
        </w:rPr>
        <w:t>Business</w:t>
      </w:r>
      <w:r>
        <w:rPr>
          <w:rFonts w:ascii="Verdana"/>
          <w:b/>
          <w:color w:val="A2B8DE"/>
          <w:spacing w:val="-8"/>
          <w:sz w:val="20"/>
        </w:rPr>
        <w:t> </w:t>
      </w:r>
      <w:r>
        <w:rPr>
          <w:rFonts w:ascii="Verdana"/>
          <w:b/>
          <w:color w:val="A2B8DE"/>
          <w:spacing w:val="-6"/>
          <w:sz w:val="20"/>
        </w:rPr>
        <w:t>Psychology</w:t>
      </w:r>
    </w:p>
    <w:sectPr>
      <w:type w:val="continuous"/>
      <w:pgSz w:w="11920" w:h="16860"/>
      <w:pgMar w:top="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" w:right="2"/>
      <w:jc w:val="center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"/>
      <w:jc w:val="center"/>
    </w:pPr>
    <w:rPr>
      <w:rFonts w:ascii="Verdana" w:hAnsi="Verdana" w:eastAsia="Verdana" w:cs="Verdana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2025-11-09T18:29:41Z</dcterms:created>
  <dcterms:modified xsi:type="dcterms:W3CDTF">2025-11-09T18:29:41Z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