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w w:val="90"/>
        </w:rPr>
        <w:t>REESE</w:t>
      </w:r>
      <w:r>
        <w:rPr>
          <w:spacing w:val="-2"/>
          <w:w w:val="95"/>
        </w:rPr>
        <w:t> </w:t>
      </w:r>
      <w:r>
        <w:rPr>
          <w:spacing w:val="-4"/>
          <w:w w:val="95"/>
        </w:rPr>
        <w:t>KING</w:t>
      </w:r>
    </w:p>
    <w:p>
      <w:pPr>
        <w:spacing w:before="135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w:t>Store</w:t>
      </w:r>
      <w:r>
        <w:rPr>
          <w:rFonts w:ascii="Arial"/>
          <w:b/>
          <w:spacing w:val="-22"/>
          <w:sz w:val="33"/>
        </w:rPr>
        <w:t> </w:t>
      </w:r>
      <w:r>
        <w:rPr>
          <w:rFonts w:ascii="Arial"/>
          <w:b/>
          <w:sz w:val="33"/>
        </w:rPr>
        <w:t>Closing</w:t>
      </w:r>
      <w:r>
        <w:rPr>
          <w:rFonts w:ascii="Arial"/>
          <w:b/>
          <w:spacing w:val="-21"/>
          <w:sz w:val="33"/>
        </w:rPr>
        <w:t> </w:t>
      </w:r>
      <w:r>
        <w:rPr>
          <w:rFonts w:ascii="Arial"/>
          <w:b/>
          <w:spacing w:val="-2"/>
          <w:sz w:val="33"/>
        </w:rPr>
        <w:t>Manager</w:t>
      </w:r>
    </w:p>
    <w:p>
      <w:pPr>
        <w:pStyle w:val="BodyText"/>
        <w:spacing w:line="268" w:lineRule="auto" w:before="83"/>
        <w:ind w:left="114" w:right="388"/>
      </w:pPr>
      <w:r>
        <w:rPr/>
        <w:br w:type="column"/>
      </w:r>
      <w:r>
        <w:rPr>
          <w:w w:val="125"/>
        </w:rPr>
        <w:t>City, ST </w:t>
      </w: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300"/>
          <w:cols w:num="2" w:equalWidth="0">
            <w:col w:w="3773" w:space="5099"/>
            <w:col w:w="2528"/>
          </w:cols>
        </w:sectPr>
      </w:pPr>
    </w:p>
    <w:p>
      <w:pPr>
        <w:pStyle w:val="BodyText"/>
        <w:spacing w:before="232"/>
      </w:pPr>
    </w:p>
    <w:p>
      <w:pPr>
        <w:pStyle w:val="Heading2"/>
      </w:pPr>
      <w:r>
        <w:rPr>
          <w:spacing w:val="-2"/>
          <w:w w:val="130"/>
        </w:rPr>
        <w:t>Experienced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Store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Closing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Manager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with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skills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liquidation,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reporting,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team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transitions</w:t>
      </w:r>
    </w:p>
    <w:p>
      <w:pPr>
        <w:pStyle w:val="BodyText"/>
        <w:spacing w:line="268" w:lineRule="auto" w:before="137"/>
        <w:ind w:left="114"/>
      </w:pPr>
      <w:r>
        <w:rPr>
          <w:w w:val="125"/>
        </w:rPr>
        <w:t>8+</w:t>
      </w:r>
      <w:r>
        <w:rPr>
          <w:spacing w:val="-10"/>
          <w:w w:val="125"/>
        </w:rPr>
        <w:t> </w:t>
      </w:r>
      <w:r>
        <w:rPr>
          <w:w w:val="125"/>
        </w:rPr>
        <w:t>years</w:t>
      </w:r>
      <w:r>
        <w:rPr>
          <w:spacing w:val="-10"/>
          <w:w w:val="125"/>
        </w:rPr>
        <w:t> </w:t>
      </w:r>
      <w:r>
        <w:rPr>
          <w:w w:val="125"/>
        </w:rPr>
        <w:t>of</w:t>
      </w:r>
      <w:r>
        <w:rPr>
          <w:spacing w:val="-10"/>
          <w:w w:val="125"/>
        </w:rPr>
        <w:t> </w:t>
      </w:r>
      <w:r>
        <w:rPr>
          <w:w w:val="125"/>
        </w:rPr>
        <w:t>retail</w:t>
      </w:r>
      <w:r>
        <w:rPr>
          <w:spacing w:val="-10"/>
          <w:w w:val="125"/>
        </w:rPr>
        <w:t> </w:t>
      </w:r>
      <w:r>
        <w:rPr>
          <w:w w:val="125"/>
        </w:rPr>
        <w:t>experience,</w:t>
      </w:r>
      <w:r>
        <w:rPr>
          <w:spacing w:val="-10"/>
          <w:w w:val="125"/>
        </w:rPr>
        <w:t> </w:t>
      </w:r>
      <w:r>
        <w:rPr>
          <w:w w:val="125"/>
        </w:rPr>
        <w:t>including</w:t>
      </w:r>
      <w:r>
        <w:rPr>
          <w:spacing w:val="-10"/>
          <w:w w:val="125"/>
        </w:rPr>
        <w:t> </w:t>
      </w:r>
      <w:r>
        <w:rPr>
          <w:w w:val="125"/>
        </w:rPr>
        <w:t>3</w:t>
      </w:r>
      <w:r>
        <w:rPr>
          <w:spacing w:val="-10"/>
          <w:w w:val="125"/>
        </w:rPr>
        <w:t> </w:t>
      </w:r>
      <w:r>
        <w:rPr>
          <w:w w:val="125"/>
        </w:rPr>
        <w:t>years</w:t>
      </w:r>
      <w:r>
        <w:rPr>
          <w:spacing w:val="-10"/>
          <w:w w:val="125"/>
        </w:rPr>
        <w:t> </w:t>
      </w:r>
      <w:r>
        <w:rPr>
          <w:w w:val="125"/>
        </w:rPr>
        <w:t>overseeing</w:t>
      </w:r>
      <w:r>
        <w:rPr>
          <w:spacing w:val="-10"/>
          <w:w w:val="125"/>
        </w:rPr>
        <w:t> </w:t>
      </w:r>
      <w:r>
        <w:rPr>
          <w:w w:val="125"/>
        </w:rPr>
        <w:t>full</w:t>
      </w:r>
      <w:r>
        <w:rPr>
          <w:spacing w:val="-10"/>
          <w:w w:val="125"/>
        </w:rPr>
        <w:t> </w:t>
      </w:r>
      <w:r>
        <w:rPr>
          <w:w w:val="125"/>
        </w:rPr>
        <w:t>store</w:t>
      </w:r>
      <w:r>
        <w:rPr>
          <w:spacing w:val="-10"/>
          <w:w w:val="125"/>
        </w:rPr>
        <w:t> </w:t>
      </w:r>
      <w:r>
        <w:rPr>
          <w:w w:val="125"/>
        </w:rPr>
        <w:t>closures.</w:t>
      </w:r>
      <w:r>
        <w:rPr>
          <w:spacing w:val="-10"/>
          <w:w w:val="125"/>
        </w:rPr>
        <w:t> </w:t>
      </w:r>
      <w:r>
        <w:rPr>
          <w:w w:val="125"/>
        </w:rPr>
        <w:t>Proficient</w:t>
      </w:r>
      <w:r>
        <w:rPr>
          <w:spacing w:val="-10"/>
          <w:w w:val="125"/>
        </w:rPr>
        <w:t> </w:t>
      </w:r>
      <w:r>
        <w:rPr>
          <w:w w:val="125"/>
        </w:rPr>
        <w:t>in</w:t>
      </w:r>
      <w:r>
        <w:rPr>
          <w:spacing w:val="-10"/>
          <w:w w:val="125"/>
        </w:rPr>
        <w:t> </w:t>
      </w:r>
      <w:r>
        <w:rPr>
          <w:w w:val="125"/>
        </w:rPr>
        <w:t>managing closing inventory, staff reassignment, and end-of-business reporting.</w:t>
      </w:r>
    </w:p>
    <w:p>
      <w:pPr>
        <w:pStyle w:val="BodyText"/>
        <w:spacing w:before="126"/>
        <w:rPr>
          <w:sz w:val="26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spacing w:val="-2"/>
        </w:rPr>
        <w:t>Professional</w:t>
      </w:r>
      <w:r>
        <w:rPr>
          <w:spacing w:val="2"/>
        </w:rPr>
        <w:t> </w:t>
      </w:r>
      <w:r>
        <w:rPr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740" w:bottom="280" w:left="220" w:right="300"/>
        </w:sectPr>
      </w:pPr>
    </w:p>
    <w:p>
      <w:pPr>
        <w:pStyle w:val="BodyText"/>
        <w:spacing w:before="188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66775">
                                <a:moveTo>
                                  <a:pt x="7568183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667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05764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3858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3906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8049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809749"/>
                            <a:ext cx="16954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66675">
                                <a:moveTo>
                                  <a:pt x="16954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2336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23837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6622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6669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081336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086099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5099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5147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10012" y="1924049"/>
                            <a:ext cx="47625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1945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47625" h="321945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47625" h="3219450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3219450">
                                <a:moveTo>
                                  <a:pt x="47625" y="1077747"/>
                                </a:moveTo>
                                <a:lnTo>
                                  <a:pt x="27165" y="1057275"/>
                                </a:lnTo>
                                <a:lnTo>
                                  <a:pt x="20472" y="1057275"/>
                                </a:lnTo>
                                <a:lnTo>
                                  <a:pt x="0" y="1077747"/>
                                </a:lnTo>
                                <a:lnTo>
                                  <a:pt x="0" y="1081316"/>
                                </a:lnTo>
                                <a:lnTo>
                                  <a:pt x="0" y="1084440"/>
                                </a:lnTo>
                                <a:lnTo>
                                  <a:pt x="20472" y="1104900"/>
                                </a:lnTo>
                                <a:lnTo>
                                  <a:pt x="27165" y="1104900"/>
                                </a:lnTo>
                                <a:lnTo>
                                  <a:pt x="47625" y="1084440"/>
                                </a:lnTo>
                                <a:lnTo>
                                  <a:pt x="47625" y="1077747"/>
                                </a:lnTo>
                                <a:close/>
                              </a:path>
                              <a:path w="47625" h="32194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32194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75232" id="docshapegroup1" coordorigin="0,2355" coordsize="11919,14505">
                <v:rect style="position:absolute;left:0;top:6000;width:4035;height:10860" id="docshape2" filled="true" fillcolor="#000000" stroked="false">
                  <v:fill type="solid"/>
                </v:rect>
                <v:rect style="position:absolute;left:0;top:2355;width:11919;height:1365" id="docshape3" filled="true" fillcolor="#f1f4f4" stroked="false">
                  <v:fill type="solid"/>
                </v:rect>
                <v:rect style="position:absolute;left:0;top:3720;width:4035;height:9300" id="docshape4" filled="true" fillcolor="#000000" stroked="false">
                  <v:fill type="solid"/>
                </v:rect>
                <v:rect style="position:absolute;left:0;top:8745;width:4035;height:15" id="docshape5" filled="true" fillcolor="#ffffff" stroked="false">
                  <v:fill type="solid"/>
                </v:rect>
                <v:rect style="position:absolute;left:337;top:4537;width:3360;height:90" id="docshape6" filled="false" stroked="true" strokeweight=".75pt" strokecolor="#ffffff">
                  <v:stroke dashstyle="solid"/>
                </v:rect>
                <v:rect style="position:absolute;left:345;top:4545;width:3345;height:90" id="docshape7" filled="true" fillcolor="#ffffff" stroked="false">
                  <v:fill type="solid"/>
                </v:rect>
                <v:rect style="position:absolute;left:337;top:5197;width:3360;height:105" id="docshape8" filled="false" stroked="true" strokeweight=".75pt" strokecolor="#ffffff">
                  <v:stroke dashstyle="solid"/>
                </v:rect>
                <v:rect style="position:absolute;left:345;top:5205;width:2670;height:105" id="docshape9" filled="true" fillcolor="#ffffff" stroked="false">
                  <v:fill type="solid"/>
                </v:rect>
                <v:rect style="position:absolute;left:337;top:5872;width:3360;height:90" id="docshape10" filled="false" stroked="true" strokeweight=".75pt" strokecolor="#ffffff">
                  <v:stroke dashstyle="solid"/>
                </v:rect>
                <v:rect style="position:absolute;left:345;top:5880;width:2010;height:90" id="docshape11" filled="true" fillcolor="#ffffff" stroked="false">
                  <v:fill type="solid"/>
                </v:rect>
                <v:rect style="position:absolute;left:337;top:6547;width:3360;height:90" id="docshape12" filled="false" stroked="true" strokeweight=".75pt" strokecolor="#ffffff">
                  <v:stroke dashstyle="solid"/>
                </v:rect>
                <v:rect style="position:absolute;left:345;top:6555;width:2010;height:90" id="docshape13" filled="true" fillcolor="#ffffff" stroked="false">
                  <v:fill type="solid"/>
                </v:rect>
                <v:rect style="position:absolute;left:337;top:7207;width:3360;height:105" id="docshape14" filled="false" stroked="true" strokeweight=".75pt" strokecolor="#ffffff">
                  <v:stroke dashstyle="solid"/>
                </v:rect>
                <v:rect style="position:absolute;left:345;top:7215;width:1335;height:90" id="docshape15" filled="true" fillcolor="#ffffff" stroked="false">
                  <v:fill type="solid"/>
                </v:rect>
                <v:rect style="position:absolute;left:337;top:7882;width:3360;height:90" id="docshape16" filled="false" stroked="true" strokeweight=".75pt" strokecolor="#ffffff">
                  <v:stroke dashstyle="solid"/>
                </v:rect>
                <v:rect style="position:absolute;left:345;top:7890;width:1335;height:90" id="docshape17" filled="true" fillcolor="#ffffff" stroked="false">
                  <v:fill type="solid"/>
                </v:rect>
                <v:shape style="position:absolute;left:6314;top:5385;width:75;height:5070" id="docshape18" coordorigin="6315,5385" coordsize="75,5070" path="m6390,10412l6389,10407,6385,10398,6383,10394,6376,10387,6372,10385,6363,10381,6358,10380,6347,10380,6342,10381,6333,10385,6329,10387,6322,10394,6320,10398,6316,10407,6315,10412,6315,10418,6315,10423,6316,10428,6320,10437,6322,10441,6329,10448,6333,10450,6342,10454,6347,10455,6358,10455,6363,10454,6372,10450,6376,10448,6383,10441,6385,10437,6389,10428,6390,10423,6390,10412xm6390,9722l6389,9717,6385,9708,6383,9704,6376,9697,6372,9695,6363,9691,6358,9690,6347,9690,6342,9691,6333,9695,6329,9697,6322,9704,6320,9708,6316,9717,6315,9722,6315,9728,6315,9733,6316,9738,6320,9747,6322,9751,6329,9758,6333,9760,6342,9764,6347,9765,6358,9765,6363,9764,6372,9760,6376,9758,6383,9751,6385,9747,6389,9738,6390,9733,6390,9722xm6390,8747l6389,8742,6385,8733,6383,8729,6376,8722,6372,8720,6363,8716,6358,8715,6347,8715,6342,8716,6333,8720,6329,8722,6322,8729,6320,8733,6316,8742,6315,8747,6315,8753,6315,8758,6316,8763,6320,8772,6322,8776,6329,8783,6333,8785,6342,8789,6347,8790,6358,8790,6363,8789,6372,8785,6376,8783,6383,8776,6385,8772,6389,8763,6390,8758,6390,8747xm6390,7082l6389,7077,6385,7068,6383,7064,6376,7057,6372,7055,6363,7051,6358,7050,6347,7050,6342,7051,6333,7055,6329,7057,6322,7064,6320,7068,6316,7077,6315,7082,6315,7088,6315,7093,6316,7098,6320,7107,6322,7111,6329,7118,6333,7120,6342,7124,6347,7125,6358,7125,6363,7124,6372,7120,6376,7118,6383,7111,6385,7107,6389,7098,6390,7093,6390,7082xm6390,6392l6389,6387,6385,6378,6383,6374,6376,6367,6372,6365,6363,6361,6358,6360,6347,6360,6342,6361,6333,6365,6329,6367,6322,6374,6320,6378,6316,6387,6315,6392,6315,6398,6315,6403,6316,6408,6320,6417,6322,6421,6329,6428,6333,6430,6342,6434,6347,6435,6358,6435,6363,6434,6372,6430,6376,6428,6383,6421,6385,6417,6389,6408,6390,6403,6390,6392xm6390,5417l6389,5412,6385,5403,6383,5399,6376,5392,6372,5390,6363,5386,6358,5385,6347,5385,6342,5386,6333,5390,6329,5392,6322,5399,6320,5403,6316,5412,6315,5417,6315,5423,6315,5428,6316,5433,6320,5442,6322,5446,6329,5453,6333,5455,6342,5459,6347,5460,6358,5460,6363,5459,6372,5455,6376,5453,6383,5446,6385,5442,6389,5433,6390,5428,6390,54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597" w:lineRule="auto"/>
        <w:ind w:left="114" w:right="669"/>
      </w:pPr>
      <w:r>
        <w:rPr>
          <w:color w:val="FFFFFF"/>
          <w:w w:val="125"/>
        </w:rPr>
        <w:t>Clearance sales Employee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offboarding Final reporting Inventory liquidation</w:t>
      </w:r>
    </w:p>
    <w:p>
      <w:pPr>
        <w:pStyle w:val="BodyText"/>
        <w:spacing w:line="590" w:lineRule="auto" w:before="10"/>
        <w:ind w:left="114"/>
      </w:pPr>
      <w:r>
        <w:rPr>
          <w:color w:val="FFFFFF"/>
          <w:spacing w:val="-2"/>
          <w:w w:val="125"/>
        </w:rPr>
        <w:t>Lease</w:t>
      </w:r>
      <w:r>
        <w:rPr>
          <w:color w:val="FFFFFF"/>
          <w:spacing w:val="-7"/>
          <w:w w:val="125"/>
        </w:rPr>
        <w:t> </w:t>
      </w:r>
      <w:r>
        <w:rPr>
          <w:color w:val="FFFFFF"/>
          <w:spacing w:val="-2"/>
          <w:w w:val="125"/>
        </w:rPr>
        <w:t>turnover</w:t>
      </w:r>
      <w:r>
        <w:rPr>
          <w:color w:val="FFFFFF"/>
          <w:spacing w:val="-7"/>
          <w:w w:val="125"/>
        </w:rPr>
        <w:t> </w:t>
      </w:r>
      <w:r>
        <w:rPr>
          <w:color w:val="FFFFFF"/>
          <w:spacing w:val="-2"/>
          <w:w w:val="125"/>
        </w:rPr>
        <w:t>coordination </w:t>
      </w:r>
      <w:r>
        <w:rPr>
          <w:color w:val="FFFFFF"/>
          <w:w w:val="125"/>
        </w:rPr>
        <w:t>Store closing SOPs</w:t>
      </w:r>
    </w:p>
    <w:p>
      <w:pPr>
        <w:pStyle w:val="BodyText"/>
        <w:spacing w:before="25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Heading2"/>
        <w:spacing w:line="285" w:lineRule="auto" w:before="218"/>
        <w:rPr>
          <w:rFonts w:ascii="Arial"/>
        </w:rPr>
      </w:pPr>
      <w:r>
        <w:rPr>
          <w:rFonts w:ascii="Arial"/>
          <w:color w:val="FFFFFF"/>
          <w:spacing w:val="-2"/>
        </w:rPr>
        <w:t>Bachelor</w:t>
      </w:r>
      <w:r>
        <w:rPr>
          <w:rFonts w:ascii="Arial"/>
          <w:color w:val="FFFFFF"/>
          <w:spacing w:val="-14"/>
        </w:rPr>
        <w:t> </w:t>
      </w:r>
      <w:r>
        <w:rPr>
          <w:rFonts w:ascii="Arial"/>
          <w:color w:val="FFFFFF"/>
          <w:spacing w:val="-2"/>
        </w:rPr>
        <w:t>of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  <w:spacing w:val="-2"/>
        </w:rPr>
        <w:t>Science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  <w:spacing w:val="-2"/>
        </w:rPr>
        <w:t>in</w:t>
      </w:r>
      <w:r>
        <w:rPr>
          <w:rFonts w:ascii="Arial"/>
          <w:color w:val="FFFFFF"/>
          <w:spacing w:val="-14"/>
        </w:rPr>
        <w:t> </w:t>
      </w:r>
      <w:r>
        <w:rPr>
          <w:rFonts w:ascii="Arial"/>
          <w:color w:val="FFFFFF"/>
          <w:spacing w:val="-2"/>
        </w:rPr>
        <w:t>Business </w:t>
      </w:r>
      <w:r>
        <w:rPr>
          <w:rFonts w:ascii="Arial"/>
          <w:color w:val="FFFFFF"/>
          <w:spacing w:val="-2"/>
          <w:w w:val="105"/>
        </w:rPr>
        <w:t>Operations</w:t>
      </w:r>
    </w:p>
    <w:p>
      <w:pPr>
        <w:pStyle w:val="BodyText"/>
        <w:spacing w:line="248" w:lineRule="exact"/>
        <w:ind w:left="114"/>
      </w:pPr>
      <w:r>
        <w:rPr>
          <w:color w:val="FFFFFF"/>
          <w:w w:val="125"/>
        </w:rPr>
        <w:t>Virginia</w:t>
      </w:r>
      <w:r>
        <w:rPr>
          <w:color w:val="FFFFFF"/>
          <w:spacing w:val="-9"/>
          <w:w w:val="125"/>
        </w:rPr>
        <w:t> </w:t>
      </w:r>
      <w:r>
        <w:rPr>
          <w:color w:val="FFFFFF"/>
          <w:spacing w:val="-2"/>
          <w:w w:val="125"/>
        </w:rPr>
        <w:t>Commonwealth</w:t>
      </w:r>
    </w:p>
    <w:p>
      <w:pPr>
        <w:pStyle w:val="BodyText"/>
        <w:spacing w:before="17"/>
        <w:ind w:left="114"/>
      </w:pPr>
      <w:r>
        <w:rPr>
          <w:color w:val="FFFFFF"/>
          <w:w w:val="110"/>
        </w:rPr>
        <w:t>University</w:t>
      </w:r>
      <w:r>
        <w:rPr>
          <w:color w:val="FFFFFF"/>
          <w:spacing w:val="35"/>
          <w:w w:val="110"/>
        </w:rPr>
        <w:t> </w:t>
      </w:r>
      <w:r>
        <w:rPr>
          <w:color w:val="FFFFFF"/>
        </w:rPr>
        <w:t>|</w:t>
      </w:r>
      <w:r>
        <w:rPr>
          <w:color w:val="FFFFFF"/>
          <w:spacing w:val="36"/>
          <w:w w:val="110"/>
        </w:rPr>
        <w:t> </w:t>
      </w:r>
      <w:r>
        <w:rPr>
          <w:color w:val="FFFFFF"/>
          <w:spacing w:val="-4"/>
          <w:w w:val="110"/>
        </w:rPr>
        <w:t>2014</w:t>
      </w:r>
    </w:p>
    <w:p>
      <w:pPr>
        <w:pStyle w:val="BodyText"/>
        <w:spacing w:before="186"/>
        <w:ind w:left="114"/>
      </w:pPr>
      <w:r>
        <w:rPr/>
        <w:br w:type="column"/>
      </w:r>
      <w:r>
        <w:rPr>
          <w:color w:val="58585B"/>
          <w:w w:val="125"/>
        </w:rPr>
        <w:t>October</w:t>
      </w:r>
      <w:r>
        <w:rPr>
          <w:color w:val="58585B"/>
          <w:spacing w:val="-11"/>
          <w:w w:val="125"/>
        </w:rPr>
        <w:t> </w:t>
      </w:r>
      <w:r>
        <w:rPr>
          <w:color w:val="58585B"/>
          <w:spacing w:val="-4"/>
          <w:w w:val="125"/>
        </w:rPr>
        <w:t>2020</w:t>
      </w:r>
    </w:p>
    <w:p>
      <w:pPr>
        <w:pStyle w:val="BodyText"/>
        <w:spacing w:line="268" w:lineRule="auto" w:before="31"/>
        <w:ind w:left="114"/>
      </w:pPr>
      <w:r>
        <w:rPr>
          <w:color w:val="58585B"/>
          <w:w w:val="125"/>
        </w:rPr>
        <w:t>-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February </w:t>
      </w:r>
      <w:r>
        <w:rPr>
          <w:color w:val="58585B"/>
          <w:spacing w:val="-4"/>
          <w:w w:val="125"/>
        </w:rPr>
        <w:t>2024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</w:pPr>
    </w:p>
    <w:p>
      <w:pPr>
        <w:pStyle w:val="BodyText"/>
        <w:spacing w:before="1"/>
        <w:ind w:left="114"/>
      </w:pPr>
      <w:r>
        <w:rPr>
          <w:color w:val="58585B"/>
          <w:w w:val="115"/>
        </w:rPr>
        <w:t>May</w:t>
      </w:r>
      <w:r>
        <w:rPr>
          <w:color w:val="58585B"/>
          <w:spacing w:val="-14"/>
          <w:w w:val="115"/>
        </w:rPr>
        <w:t> </w:t>
      </w:r>
      <w:r>
        <w:rPr>
          <w:color w:val="58585B"/>
          <w:w w:val="115"/>
        </w:rPr>
        <w:t>2015</w:t>
      </w:r>
      <w:r>
        <w:rPr>
          <w:color w:val="58585B"/>
          <w:spacing w:val="-14"/>
          <w:w w:val="115"/>
        </w:rPr>
        <w:t> </w:t>
      </w:r>
      <w:r>
        <w:rPr>
          <w:color w:val="58585B"/>
          <w:spacing w:val="-10"/>
          <w:w w:val="115"/>
        </w:rPr>
        <w:t>-</w:t>
      </w:r>
    </w:p>
    <w:p>
      <w:pPr>
        <w:pStyle w:val="BodyText"/>
        <w:spacing w:line="254" w:lineRule="auto" w:before="31"/>
        <w:ind w:left="114"/>
      </w:pPr>
      <w:r>
        <w:rPr>
          <w:color w:val="58585B"/>
          <w:spacing w:val="-2"/>
          <w:w w:val="125"/>
        </w:rPr>
        <w:t>September </w:t>
      </w:r>
      <w:r>
        <w:rPr>
          <w:color w:val="58585B"/>
          <w:spacing w:val="-4"/>
          <w:w w:val="125"/>
        </w:rPr>
        <w:t>2020</w:t>
      </w:r>
    </w:p>
    <w:p>
      <w:pPr>
        <w:pStyle w:val="Heading2"/>
        <w:spacing w:before="219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  <w:spacing w:val="-2"/>
        </w:rPr>
        <w:t>Store</w:t>
      </w:r>
      <w:r>
        <w:rPr>
          <w:rFonts w:ascii="Arial"/>
          <w:color w:val="58585B"/>
          <w:spacing w:val="-4"/>
        </w:rPr>
        <w:t> </w:t>
      </w:r>
      <w:r>
        <w:rPr>
          <w:rFonts w:ascii="Arial"/>
          <w:color w:val="58585B"/>
          <w:spacing w:val="-2"/>
        </w:rPr>
        <w:t>Closing</w:t>
      </w:r>
      <w:r>
        <w:rPr>
          <w:rFonts w:ascii="Arial"/>
          <w:color w:val="58585B"/>
          <w:spacing w:val="-4"/>
        </w:rPr>
        <w:t> </w:t>
      </w:r>
      <w:r>
        <w:rPr>
          <w:rFonts w:ascii="Arial"/>
          <w:color w:val="58585B"/>
          <w:spacing w:val="-2"/>
        </w:rPr>
        <w:t>Manager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Bed</w:t>
      </w:r>
      <w:r>
        <w:rPr>
          <w:i/>
          <w:color w:val="58585B"/>
          <w:spacing w:val="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Bath</w:t>
      </w:r>
      <w:r>
        <w:rPr>
          <w:i/>
          <w:color w:val="58585B"/>
          <w:spacing w:val="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&amp;</w:t>
      </w:r>
      <w:r>
        <w:rPr>
          <w:i/>
          <w:color w:val="58585B"/>
          <w:spacing w:val="7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Beyond,</w:t>
      </w:r>
      <w:r>
        <w:rPr>
          <w:i/>
          <w:color w:val="58585B"/>
          <w:spacing w:val="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Richmond,</w:t>
      </w:r>
      <w:r>
        <w:rPr>
          <w:i/>
          <w:color w:val="58585B"/>
          <w:spacing w:val="7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VA</w:t>
      </w:r>
    </w:p>
    <w:p>
      <w:pPr>
        <w:pStyle w:val="BodyText"/>
        <w:spacing w:line="268" w:lineRule="auto" w:before="211"/>
        <w:ind w:left="486"/>
      </w:pPr>
      <w:r>
        <w:rPr>
          <w:color w:val="58585B"/>
          <w:w w:val="125"/>
        </w:rPr>
        <w:t>Managed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inventory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sell-through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strategy that cleared 95% of product by the close </w:t>
      </w:r>
      <w:r>
        <w:rPr>
          <w:color w:val="58585B"/>
          <w:spacing w:val="-4"/>
          <w:w w:val="125"/>
        </w:rPr>
        <w:t>date</w:t>
      </w:r>
    </w:p>
    <w:p>
      <w:pPr>
        <w:pStyle w:val="BodyText"/>
        <w:spacing w:line="268" w:lineRule="auto" w:before="88"/>
        <w:ind w:left="486" w:right="178"/>
      </w:pPr>
      <w:r>
        <w:rPr>
          <w:color w:val="58585B"/>
          <w:w w:val="125"/>
        </w:rPr>
        <w:t>Handled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offboarding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25+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employees with zero compliance issues</w:t>
      </w:r>
    </w:p>
    <w:p>
      <w:pPr>
        <w:pStyle w:val="BodyText"/>
        <w:spacing w:line="268" w:lineRule="auto" w:before="88"/>
        <w:ind w:left="486"/>
      </w:pPr>
      <w:r>
        <w:rPr>
          <w:color w:val="58585B"/>
          <w:w w:val="125"/>
        </w:rPr>
        <w:t>Liaised with vendors and landlords during lease terminations</w:t>
      </w:r>
    </w:p>
    <w:p>
      <w:pPr>
        <w:pStyle w:val="BodyText"/>
        <w:spacing w:before="18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  <w:w w:val="105"/>
        </w:rPr>
        <w:t>Department</w:t>
      </w:r>
      <w:r>
        <w:rPr>
          <w:rFonts w:ascii="Arial"/>
          <w:color w:val="58585B"/>
          <w:spacing w:val="-10"/>
          <w:w w:val="105"/>
        </w:rPr>
        <w:t> </w:t>
      </w:r>
      <w:r>
        <w:rPr>
          <w:rFonts w:ascii="Arial"/>
          <w:color w:val="58585B"/>
          <w:spacing w:val="-2"/>
          <w:w w:val="105"/>
        </w:rPr>
        <w:t>Manager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Pier</w:t>
      </w:r>
      <w:r>
        <w:rPr>
          <w:i/>
          <w:color w:val="58585B"/>
          <w:spacing w:val="38"/>
          <w:w w:val="115"/>
          <w:sz w:val="22"/>
        </w:rPr>
        <w:t> </w:t>
      </w:r>
      <w:r>
        <w:rPr>
          <w:i/>
          <w:color w:val="58585B"/>
          <w:sz w:val="22"/>
        </w:rPr>
        <w:t>1</w:t>
      </w:r>
      <w:r>
        <w:rPr>
          <w:i/>
          <w:color w:val="58585B"/>
          <w:spacing w:val="39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Imports,</w:t>
      </w:r>
      <w:r>
        <w:rPr>
          <w:i/>
          <w:color w:val="58585B"/>
          <w:spacing w:val="39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Newport</w:t>
      </w:r>
      <w:r>
        <w:rPr>
          <w:i/>
          <w:color w:val="58585B"/>
          <w:spacing w:val="38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News,</w:t>
      </w:r>
      <w:r>
        <w:rPr>
          <w:i/>
          <w:color w:val="58585B"/>
          <w:spacing w:val="39"/>
          <w:w w:val="115"/>
          <w:sz w:val="22"/>
        </w:rPr>
        <w:t> </w:t>
      </w:r>
      <w:r>
        <w:rPr>
          <w:i/>
          <w:color w:val="58585B"/>
          <w:spacing w:val="-5"/>
          <w:w w:val="115"/>
          <w:sz w:val="22"/>
        </w:rPr>
        <w:t>VA</w:t>
      </w:r>
    </w:p>
    <w:p>
      <w:pPr>
        <w:pStyle w:val="BodyText"/>
        <w:spacing w:line="268" w:lineRule="auto" w:before="212"/>
        <w:ind w:left="486" w:right="754"/>
      </w:pPr>
      <w:r>
        <w:rPr>
          <w:color w:val="58585B"/>
          <w:w w:val="125"/>
        </w:rPr>
        <w:t>Supported store-wide markdown execution and final shipments during company-wide closures</w:t>
      </w:r>
    </w:p>
    <w:p>
      <w:pPr>
        <w:pStyle w:val="BodyText"/>
        <w:spacing w:line="268" w:lineRule="auto" w:before="87"/>
        <w:ind w:left="486"/>
      </w:pPr>
      <w:r>
        <w:rPr>
          <w:color w:val="58585B"/>
          <w:w w:val="125"/>
        </w:rPr>
        <w:t>Conducted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final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floor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walks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closing </w:t>
      </w:r>
      <w:r>
        <w:rPr>
          <w:color w:val="58585B"/>
          <w:spacing w:val="-2"/>
          <w:w w:val="125"/>
        </w:rPr>
        <w:t>audits</w:t>
      </w:r>
    </w:p>
    <w:p>
      <w:pPr>
        <w:pStyle w:val="BodyText"/>
        <w:spacing w:line="254" w:lineRule="auto" w:before="89"/>
        <w:ind w:left="486"/>
      </w:pPr>
      <w:r>
        <w:rPr>
          <w:color w:val="58585B"/>
          <w:w w:val="125"/>
        </w:rPr>
        <w:t>Maintained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compliance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fire exit policies through last operating day</w:t>
      </w:r>
    </w:p>
    <w:sectPr>
      <w:type w:val="continuous"/>
      <w:pgSz w:w="11920" w:h="16860"/>
      <w:pgMar w:top="740" w:bottom="280" w:left="220" w:right="300"/>
      <w:cols w:num="3" w:equalWidth="0">
        <w:col w:w="3478" w:space="558"/>
        <w:col w:w="1678" w:space="252"/>
        <w:col w:w="54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2025-11-30T00:01:48Z</dcterms:created>
  <dcterms:modified xsi:type="dcterms:W3CDTF">2025-11-30T00:01:48Z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