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A6FF"/>
          <w:w w:val="90"/>
        </w:rPr>
        <w:t>Avery</w:t>
      </w:r>
      <w:r>
        <w:rPr>
          <w:color w:val="25A6FF"/>
          <w:spacing w:val="7"/>
        </w:rPr>
        <w:t> </w:t>
      </w:r>
      <w:r>
        <w:rPr>
          <w:color w:val="25A6FF"/>
          <w:spacing w:val="-2"/>
        </w:rPr>
        <w:t>Harris</w:t>
      </w:r>
    </w:p>
    <w:p>
      <w:pPr>
        <w:spacing w:before="107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Bilingual</w:t>
      </w:r>
      <w:r>
        <w:rPr>
          <w:rFonts w:ascii="Verdana"/>
          <w:b/>
          <w:spacing w:val="-1"/>
          <w:sz w:val="16"/>
        </w:rPr>
        <w:t> </w:t>
      </w:r>
      <w:r>
        <w:rPr>
          <w:rFonts w:ascii="Verdana"/>
          <w:b/>
          <w:spacing w:val="-4"/>
          <w:sz w:val="16"/>
        </w:rPr>
        <w:t>Auto</w:t>
      </w:r>
      <w:r>
        <w:rPr>
          <w:rFonts w:ascii="Verdana"/>
          <w:b/>
          <w:sz w:val="16"/>
        </w:rPr>
        <w:t> </w:t>
      </w:r>
      <w:r>
        <w:rPr>
          <w:rFonts w:ascii="Verdana"/>
          <w:b/>
          <w:spacing w:val="-4"/>
          <w:sz w:val="16"/>
        </w:rPr>
        <w:t>Sales</w:t>
      </w:r>
      <w:r>
        <w:rPr>
          <w:rFonts w:ascii="Verdana"/>
          <w:b/>
          <w:spacing w:val="-1"/>
          <w:sz w:val="16"/>
        </w:rPr>
        <w:t> </w:t>
      </w:r>
      <w:r>
        <w:rPr>
          <w:rFonts w:ascii="Verdana"/>
          <w:b/>
          <w:spacing w:val="-4"/>
          <w:sz w:val="16"/>
        </w:rPr>
        <w:t>Representative</w:t>
      </w:r>
    </w:p>
    <w:p>
      <w:pPr>
        <w:spacing w:before="196"/>
        <w:ind w:left="0" w:right="113" w:firstLine="0"/>
        <w:jc w:val="right"/>
        <w:rPr>
          <w:sz w:val="22"/>
        </w:rPr>
      </w:pPr>
      <w:r>
        <w:rPr/>
        <w:br w:type="column"/>
      </w:r>
      <w:r>
        <w:rPr>
          <w:sz w:val="22"/>
        </w:rPr>
        <w:t>El</w:t>
      </w:r>
      <w:r>
        <w:rPr>
          <w:spacing w:val="-14"/>
          <w:sz w:val="22"/>
        </w:rPr>
        <w:t> </w:t>
      </w:r>
      <w:r>
        <w:rPr>
          <w:sz w:val="22"/>
        </w:rPr>
        <w:t>Paso,</w:t>
      </w:r>
      <w:r>
        <w:rPr>
          <w:spacing w:val="-13"/>
          <w:sz w:val="22"/>
        </w:rPr>
        <w:t> </w:t>
      </w:r>
      <w:r>
        <w:rPr>
          <w:sz w:val="22"/>
        </w:rPr>
        <w:t>TX</w:t>
      </w:r>
      <w:r>
        <w:rPr>
          <w:spacing w:val="-9"/>
          <w:sz w:val="22"/>
        </w:rPr>
        <w:t> </w:t>
      </w:r>
      <w:r>
        <w:rPr>
          <w:sz w:val="22"/>
        </w:rPr>
        <w:t>79901</w:t>
      </w:r>
      <w:r>
        <w:rPr>
          <w:spacing w:val="-6"/>
          <w:sz w:val="22"/>
        </w:rPr>
        <w:t> </w:t>
      </w:r>
      <w:r>
        <w:rPr>
          <w:w w:val="85"/>
          <w:sz w:val="22"/>
        </w:rPr>
        <w:t>|</w:t>
      </w:r>
      <w:r>
        <w:rPr>
          <w:spacing w:val="-7"/>
          <w:sz w:val="22"/>
        </w:rPr>
        <w:t> </w:t>
      </w:r>
      <w:r>
        <w:rPr>
          <w:sz w:val="22"/>
        </w:rPr>
        <w:t>(555)</w:t>
      </w:r>
      <w:r>
        <w:rPr>
          <w:spacing w:val="-6"/>
          <w:sz w:val="22"/>
        </w:rPr>
        <w:t> </w:t>
      </w:r>
      <w:r>
        <w:rPr>
          <w:sz w:val="22"/>
        </w:rPr>
        <w:t>242-</w:t>
      </w:r>
      <w:r>
        <w:rPr>
          <w:spacing w:val="-4"/>
          <w:sz w:val="22"/>
        </w:rPr>
        <w:t>5555</w:t>
      </w:r>
    </w:p>
    <w:p>
      <w:pPr>
        <w:spacing w:before="59"/>
        <w:ind w:left="0" w:right="113" w:firstLine="0"/>
        <w:jc w:val="right"/>
        <w:rPr>
          <w:sz w:val="22"/>
        </w:rPr>
      </w:pPr>
      <w:hyperlink r:id="rId5">
        <w:r>
          <w:rPr>
            <w:spacing w:val="-2"/>
            <w:sz w:val="22"/>
          </w:rPr>
          <w:t>avery.harris@email.com</w:t>
        </w:r>
      </w:hyperlink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080" w:bottom="280" w:left="1220" w:right="1220"/>
          <w:cols w:num="2" w:equalWidth="0">
            <w:col w:w="3291" w:space="2524"/>
            <w:col w:w="3665"/>
          </w:cols>
        </w:sectPr>
      </w:pPr>
    </w:p>
    <w:p>
      <w:pPr>
        <w:pStyle w:val="BodyText"/>
        <w:rPr>
          <w:b w:val="0"/>
        </w:rPr>
      </w:pPr>
    </w:p>
    <w:p>
      <w:pPr>
        <w:pStyle w:val="BodyText"/>
        <w:spacing w:before="88"/>
        <w:rPr>
          <w:b w:val="0"/>
        </w:rPr>
      </w:pPr>
    </w:p>
    <w:p>
      <w:pPr>
        <w:pStyle w:val="BodyText"/>
        <w:spacing w:before="1"/>
        <w:ind w:left="118"/>
      </w:pPr>
      <w:r>
        <w:rPr>
          <w:w w:val="105"/>
        </w:rPr>
        <w:t>Bilingual</w:t>
      </w:r>
      <w:r>
        <w:rPr>
          <w:spacing w:val="-29"/>
          <w:w w:val="105"/>
        </w:rPr>
        <w:t> </w:t>
      </w:r>
      <w:r>
        <w:rPr>
          <w:w w:val="105"/>
        </w:rPr>
        <w:t>Auto</w:t>
      </w:r>
      <w:r>
        <w:rPr>
          <w:spacing w:val="-16"/>
          <w:w w:val="105"/>
        </w:rPr>
        <w:t> </w:t>
      </w:r>
      <w:r>
        <w:rPr>
          <w:w w:val="105"/>
        </w:rPr>
        <w:t>Sales</w:t>
      </w:r>
      <w:r>
        <w:rPr>
          <w:spacing w:val="-15"/>
          <w:w w:val="105"/>
        </w:rPr>
        <w:t> </w:t>
      </w:r>
      <w:r>
        <w:rPr>
          <w:w w:val="105"/>
        </w:rPr>
        <w:t>Representative</w:t>
      </w:r>
      <w:r>
        <w:rPr>
          <w:spacing w:val="-23"/>
          <w:w w:val="105"/>
        </w:rPr>
        <w:t> </w:t>
      </w:r>
      <w:r>
        <w:rPr>
          <w:w w:val="105"/>
        </w:rPr>
        <w:t>who</w:t>
      </w:r>
      <w:r>
        <w:rPr>
          <w:spacing w:val="-15"/>
          <w:w w:val="105"/>
        </w:rPr>
        <w:t> </w:t>
      </w:r>
      <w:r>
        <w:rPr>
          <w:w w:val="105"/>
        </w:rPr>
        <w:t>builds</w:t>
      </w:r>
      <w:r>
        <w:rPr>
          <w:spacing w:val="-15"/>
          <w:w w:val="105"/>
        </w:rPr>
        <w:t> </w:t>
      </w:r>
      <w:r>
        <w:rPr>
          <w:w w:val="105"/>
        </w:rPr>
        <w:t>trust</w:t>
      </w:r>
      <w:r>
        <w:rPr>
          <w:spacing w:val="-16"/>
          <w:w w:val="105"/>
        </w:rPr>
        <w:t> </w:t>
      </w:r>
      <w:r>
        <w:rPr>
          <w:w w:val="105"/>
        </w:rPr>
        <w:t>across</w:t>
      </w:r>
      <w:r>
        <w:rPr>
          <w:spacing w:val="-15"/>
          <w:w w:val="105"/>
        </w:rPr>
        <w:t> </w:t>
      </w:r>
      <w:r>
        <w:rPr>
          <w:w w:val="105"/>
        </w:rPr>
        <w:t>diverse</w:t>
      </w:r>
      <w:r>
        <w:rPr>
          <w:spacing w:val="-16"/>
          <w:w w:val="105"/>
        </w:rPr>
        <w:t> </w:t>
      </w:r>
      <w:r>
        <w:rPr>
          <w:w w:val="105"/>
        </w:rPr>
        <w:t>customer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groups</w:t>
      </w:r>
    </w:p>
    <w:p>
      <w:pPr>
        <w:pStyle w:val="BodyText"/>
        <w:spacing w:line="276" w:lineRule="auto" w:before="149"/>
        <w:ind w:left="118" w:right="659"/>
      </w:pPr>
      <w:r>
        <w:rPr>
          <w:w w:val="105"/>
        </w:rPr>
        <w:t>Fluent</w:t>
      </w:r>
      <w:r>
        <w:rPr>
          <w:spacing w:val="-13"/>
          <w:w w:val="105"/>
        </w:rPr>
        <w:t> </w:t>
      </w:r>
      <w:r>
        <w:rPr>
          <w:w w:val="105"/>
        </w:rPr>
        <w:t>English-Spanish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Rep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5</w:t>
      </w:r>
      <w:r>
        <w:rPr>
          <w:spacing w:val="-20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bilingual</w:t>
      </w:r>
      <w:r>
        <w:rPr>
          <w:spacing w:val="-20"/>
          <w:w w:val="105"/>
        </w:rPr>
        <w:t> </w:t>
      </w:r>
      <w:r>
        <w:rPr>
          <w:w w:val="105"/>
        </w:rPr>
        <w:t>customer service, focused on helping Spanish-speaking customers navigate financing and vehicle</w:t>
      </w:r>
      <w:r>
        <w:rPr>
          <w:spacing w:val="-4"/>
          <w:w w:val="105"/>
        </w:rPr>
        <w:t> </w:t>
      </w:r>
      <w:r>
        <w:rPr>
          <w:w w:val="105"/>
        </w:rPr>
        <w:t>selection.</w:t>
      </w:r>
      <w:r>
        <w:rPr>
          <w:spacing w:val="-4"/>
          <w:w w:val="105"/>
        </w:rPr>
        <w:t> </w:t>
      </w:r>
      <w:r>
        <w:rPr>
          <w:w w:val="105"/>
        </w:rPr>
        <w:t>Proven</w:t>
      </w:r>
      <w:r>
        <w:rPr>
          <w:spacing w:val="-4"/>
          <w:w w:val="105"/>
        </w:rPr>
        <w:t> </w:t>
      </w:r>
      <w:r>
        <w:rPr>
          <w:w w:val="105"/>
        </w:rPr>
        <w:t>track</w:t>
      </w:r>
      <w:r>
        <w:rPr>
          <w:spacing w:val="-4"/>
          <w:w w:val="105"/>
        </w:rPr>
        <w:t> </w:t>
      </w:r>
      <w:r>
        <w:rPr>
          <w:w w:val="105"/>
        </w:rPr>
        <w:t>record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growing</w:t>
      </w:r>
      <w:r>
        <w:rPr>
          <w:spacing w:val="-4"/>
          <w:w w:val="105"/>
        </w:rPr>
        <w:t> </w:t>
      </w:r>
      <w:r>
        <w:rPr>
          <w:w w:val="105"/>
        </w:rPr>
        <w:t>Hispanic</w:t>
      </w:r>
      <w:r>
        <w:rPr>
          <w:spacing w:val="-4"/>
          <w:w w:val="105"/>
        </w:rPr>
        <w:t> </w:t>
      </w:r>
      <w:r>
        <w:rPr>
          <w:w w:val="105"/>
        </w:rPr>
        <w:t>customer</w:t>
      </w:r>
      <w:r>
        <w:rPr>
          <w:spacing w:val="-10"/>
          <w:w w:val="105"/>
        </w:rPr>
        <w:t> </w:t>
      </w:r>
      <w:r>
        <w:rPr>
          <w:w w:val="105"/>
        </w:rPr>
        <w:t>base</w:t>
      </w:r>
      <w:r>
        <w:rPr>
          <w:spacing w:val="-4"/>
          <w:w w:val="105"/>
        </w:rPr>
        <w:t> </w:t>
      </w:r>
      <w:r>
        <w:rPr>
          <w:w w:val="105"/>
        </w:rPr>
        <w:t>and improving close rates among Spanish-speaking leads.</w:t>
      </w:r>
    </w:p>
    <w:p>
      <w:pPr>
        <w:pStyle w:val="BodyText"/>
        <w:spacing w:before="53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2076449</wp:posOffset>
                </wp:positionH>
                <wp:positionV relativeFrom="paragraph">
                  <wp:posOffset>137878</wp:posOffset>
                </wp:positionV>
                <wp:extent cx="46482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48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48200" h="38100">
                              <a:moveTo>
                                <a:pt x="0" y="38099"/>
                              </a:moveTo>
                              <a:lnTo>
                                <a:pt x="4648199" y="38099"/>
                              </a:lnTo>
                              <a:lnTo>
                                <a:pt x="46481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3.499985pt;margin-top:10.856555pt;width:365.999971pt;height:3.0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12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line="345" w:lineRule="auto" w:before="228"/>
        <w:ind w:left="118" w:right="6130"/>
      </w:pPr>
      <w:r>
        <w:rPr>
          <w:w w:val="105"/>
        </w:rPr>
        <w:t>Automotive</w:t>
      </w:r>
      <w:r>
        <w:rPr>
          <w:spacing w:val="-4"/>
          <w:w w:val="105"/>
        </w:rPr>
        <w:t> </w:t>
      </w:r>
      <w:r>
        <w:rPr>
          <w:w w:val="105"/>
        </w:rPr>
        <w:t>financing Compliance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contracts Deal</w:t>
      </w:r>
      <w:r>
        <w:rPr>
          <w:spacing w:val="-16"/>
          <w:w w:val="105"/>
        </w:rPr>
        <w:t> </w:t>
      </w:r>
      <w:r>
        <w:rPr>
          <w:w w:val="105"/>
        </w:rPr>
        <w:t>structuring</w:t>
      </w:r>
    </w:p>
    <w:p>
      <w:pPr>
        <w:pStyle w:val="BodyText"/>
        <w:spacing w:line="352" w:lineRule="auto" w:before="6"/>
        <w:ind w:left="118" w:right="6130"/>
      </w:pPr>
      <w:r>
        <w:rPr>
          <w:w w:val="105"/>
        </w:rPr>
        <w:t>Extended</w:t>
      </w:r>
      <w:r>
        <w:rPr>
          <w:spacing w:val="-24"/>
          <w:w w:val="105"/>
        </w:rPr>
        <w:t> </w:t>
      </w:r>
      <w:r>
        <w:rPr>
          <w:w w:val="105"/>
        </w:rPr>
        <w:t>warranty</w:t>
      </w:r>
      <w:r>
        <w:rPr>
          <w:spacing w:val="-22"/>
          <w:w w:val="105"/>
        </w:rPr>
        <w:t> </w:t>
      </w:r>
      <w:r>
        <w:rPr>
          <w:w w:val="105"/>
        </w:rPr>
        <w:t>sales Lender</w:t>
      </w:r>
      <w:r>
        <w:rPr>
          <w:spacing w:val="-14"/>
          <w:w w:val="105"/>
        </w:rPr>
        <w:t> </w:t>
      </w:r>
      <w:r>
        <w:rPr>
          <w:w w:val="105"/>
        </w:rPr>
        <w:t>negotiation</w:t>
      </w:r>
    </w:p>
    <w:p>
      <w:pPr>
        <w:pStyle w:val="Heading1"/>
        <w:spacing w:before="2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3514724</wp:posOffset>
                </wp:positionH>
                <wp:positionV relativeFrom="paragraph">
                  <wp:posOffset>311863</wp:posOffset>
                </wp:positionV>
                <wp:extent cx="32099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099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9925" h="38100">
                              <a:moveTo>
                                <a:pt x="0" y="38099"/>
                              </a:moveTo>
                              <a:lnTo>
                                <a:pt x="3209924" y="38099"/>
                              </a:lnTo>
                              <a:lnTo>
                                <a:pt x="32099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6.749969pt;margin-top:24.556164pt;width:252.74998pt;height:3.0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11"/>
        </w:rPr>
        <w:t>Professional</w:t>
      </w:r>
      <w:r>
        <w:rPr>
          <w:color w:val="25A6FF"/>
          <w:spacing w:val="-4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34"/>
        <w:rPr>
          <w:rFonts w:ascii="Verdana"/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Bilingual</w:t>
      </w:r>
      <w:r>
        <w:rPr>
          <w:rFonts w:ascii="Verdana"/>
          <w:b/>
          <w:spacing w:val="-3"/>
          <w:sz w:val="16"/>
        </w:rPr>
        <w:t> </w:t>
      </w:r>
      <w:r>
        <w:rPr>
          <w:rFonts w:ascii="Verdana"/>
          <w:b/>
          <w:spacing w:val="-4"/>
          <w:sz w:val="16"/>
        </w:rPr>
        <w:t>Sales</w:t>
      </w:r>
      <w:r>
        <w:rPr>
          <w:rFonts w:ascii="Verdana"/>
          <w:b/>
          <w:spacing w:val="-3"/>
          <w:sz w:val="16"/>
        </w:rPr>
        <w:t> </w:t>
      </w:r>
      <w:r>
        <w:rPr>
          <w:rFonts w:ascii="Verdana"/>
          <w:b/>
          <w:spacing w:val="-4"/>
          <w:sz w:val="16"/>
        </w:rPr>
        <w:t>Associate</w:t>
      </w:r>
    </w:p>
    <w:p>
      <w:pPr>
        <w:tabs>
          <w:tab w:pos="7238" w:val="left" w:leader="none"/>
        </w:tabs>
        <w:spacing w:before="75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Sunset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Auto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Group</w:t>
      </w:r>
      <w:r>
        <w:rPr>
          <w:i/>
          <w:spacing w:val="-6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spacing w:val="-2"/>
          <w:sz w:val="22"/>
        </w:rPr>
        <w:t>El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Paso,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TX</w:t>
      </w:r>
      <w:r>
        <w:rPr>
          <w:i/>
          <w:sz w:val="22"/>
        </w:rPr>
        <w:tab/>
        <w:t>March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tabs>
          <w:tab w:pos="490" w:val="left" w:leader="none"/>
        </w:tabs>
        <w:spacing w:before="119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Boosted</w:t>
      </w:r>
      <w:r>
        <w:rPr>
          <w:spacing w:val="5"/>
          <w:w w:val="105"/>
          <w:sz w:val="22"/>
        </w:rPr>
        <w:t> </w:t>
      </w:r>
      <w:r>
        <w:rPr>
          <w:w w:val="105"/>
          <w:sz w:val="22"/>
        </w:rPr>
        <w:t>Hispanic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customer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sales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volume</w:t>
      </w:r>
      <w:r>
        <w:rPr>
          <w:spacing w:val="6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40%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year-over-</w:t>
      </w:r>
      <w:r>
        <w:rPr>
          <w:spacing w:val="-4"/>
          <w:w w:val="105"/>
          <w:sz w:val="22"/>
        </w:rPr>
        <w:t>year</w:t>
      </w:r>
    </w:p>
    <w:p>
      <w:pPr>
        <w:tabs>
          <w:tab w:pos="490" w:val="left" w:leader="none"/>
        </w:tabs>
        <w:spacing w:before="105"/>
        <w:ind w:left="490" w:right="703" w:hanging="346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Translated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financing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documents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warranty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explanations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Spanish-speaking </w:t>
      </w:r>
      <w:r>
        <w:rPr>
          <w:spacing w:val="-2"/>
          <w:w w:val="105"/>
          <w:sz w:val="22"/>
        </w:rPr>
        <w:t>clients</w:t>
      </w:r>
    </w:p>
    <w:p>
      <w:pPr>
        <w:tabs>
          <w:tab w:pos="490" w:val="left" w:leader="none"/>
        </w:tabs>
        <w:spacing w:before="104"/>
        <w:ind w:left="144" w:right="0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Led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in-store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bilingual</w:t>
      </w:r>
      <w:r>
        <w:rPr>
          <w:spacing w:val="-25"/>
          <w:w w:val="105"/>
          <w:sz w:val="22"/>
        </w:rPr>
        <w:t> </w:t>
      </w:r>
      <w:r>
        <w:rPr>
          <w:w w:val="105"/>
          <w:sz w:val="22"/>
        </w:rPr>
        <w:t>workshops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that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increased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overall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lead-to-sale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conversion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9"/>
          <w:w w:val="105"/>
          <w:sz w:val="22"/>
        </w:rPr>
        <w:t> </w:t>
      </w:r>
      <w:r>
        <w:rPr>
          <w:spacing w:val="-5"/>
          <w:w w:val="105"/>
          <w:sz w:val="22"/>
        </w:rPr>
        <w:t>18%</w:t>
      </w:r>
    </w:p>
    <w:p>
      <w:pPr>
        <w:pStyle w:val="BodyText"/>
        <w:spacing w:before="39"/>
        <w:rPr>
          <w:b w:val="0"/>
          <w:sz w:val="16"/>
        </w:rPr>
      </w:pPr>
    </w:p>
    <w:p>
      <w:pPr>
        <w:spacing w:before="1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Customer</w:t>
      </w:r>
      <w:r>
        <w:rPr>
          <w:rFonts w:ascii="Verdana"/>
          <w:b/>
          <w:sz w:val="16"/>
        </w:rPr>
        <w:t> </w:t>
      </w:r>
      <w:r>
        <w:rPr>
          <w:rFonts w:ascii="Verdana"/>
          <w:b/>
          <w:spacing w:val="-4"/>
          <w:sz w:val="16"/>
        </w:rPr>
        <w:t>Service</w:t>
      </w:r>
      <w:r>
        <w:rPr>
          <w:rFonts w:ascii="Verdana"/>
          <w:b/>
          <w:spacing w:val="1"/>
          <w:sz w:val="16"/>
        </w:rPr>
        <w:t> </w:t>
      </w:r>
      <w:r>
        <w:rPr>
          <w:rFonts w:ascii="Verdana"/>
          <w:b/>
          <w:spacing w:val="-4"/>
          <w:sz w:val="16"/>
        </w:rPr>
        <w:t>Representative</w:t>
      </w:r>
    </w:p>
    <w:p>
      <w:pPr>
        <w:tabs>
          <w:tab w:pos="6821" w:val="left" w:leader="none"/>
        </w:tabs>
        <w:spacing w:before="74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AutoZone</w:t>
      </w:r>
      <w:r>
        <w:rPr>
          <w:i/>
          <w:spacing w:val="-11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spacing w:val="-2"/>
          <w:sz w:val="22"/>
        </w:rPr>
        <w:t>El</w:t>
      </w:r>
      <w:r>
        <w:rPr>
          <w:i/>
          <w:spacing w:val="-16"/>
          <w:sz w:val="22"/>
        </w:rPr>
        <w:t> </w:t>
      </w:r>
      <w:r>
        <w:rPr>
          <w:i/>
          <w:spacing w:val="-2"/>
          <w:sz w:val="22"/>
        </w:rPr>
        <w:t>Paso,</w:t>
      </w:r>
      <w:r>
        <w:rPr>
          <w:i/>
          <w:spacing w:val="-17"/>
          <w:sz w:val="22"/>
        </w:rPr>
        <w:t> </w:t>
      </w:r>
      <w:r>
        <w:rPr>
          <w:i/>
          <w:spacing w:val="-5"/>
          <w:sz w:val="22"/>
        </w:rPr>
        <w:t>TX</w:t>
      </w:r>
      <w:r>
        <w:rPr>
          <w:i/>
          <w:sz w:val="22"/>
        </w:rPr>
        <w:tab/>
      </w:r>
      <w:r>
        <w:rPr>
          <w:i/>
          <w:spacing w:val="-2"/>
          <w:sz w:val="22"/>
        </w:rPr>
        <w:t>July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2018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February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tabs>
          <w:tab w:pos="490" w:val="left" w:leader="none"/>
        </w:tabs>
        <w:spacing w:line="338" w:lineRule="auto" w:before="120"/>
        <w:ind w:left="144" w:right="1577" w:firstLine="0"/>
        <w:jc w:val="left"/>
        <w:rPr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Helped customers select parts and services in both English and Spanish </w:t>
      </w:r>
      <w:r>
        <w:rPr>
          <w:position w:val="5"/>
          <w:sz w:val="2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2"/>
        </w:rPr>
      </w:r>
      <w:r>
        <w:rPr>
          <w:rFonts w:ascii="Times New Roman"/>
          <w:sz w:val="22"/>
        </w:rPr>
        <w:tab/>
      </w:r>
      <w:r>
        <w:rPr>
          <w:w w:val="105"/>
          <w:sz w:val="22"/>
        </w:rPr>
        <w:t>Trained new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hires on bilingual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customer</w:t>
      </w:r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service best practices</w:t>
      </w:r>
    </w:p>
    <w:p>
      <w:pPr>
        <w:pStyle w:val="Heading1"/>
        <w:spacing w:before="2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2152649</wp:posOffset>
                </wp:positionH>
                <wp:positionV relativeFrom="paragraph">
                  <wp:posOffset>321610</wp:posOffset>
                </wp:positionV>
                <wp:extent cx="45720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720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38100">
                              <a:moveTo>
                                <a:pt x="0" y="38099"/>
                              </a:moveTo>
                              <a:lnTo>
                                <a:pt x="4571999" y="38099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25.323694pt;width:359.999971pt;height:3.0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pStyle w:val="BodyText"/>
        <w:spacing w:before="78"/>
        <w:rPr>
          <w:rFonts w:ascii="Verdana"/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Bachelor</w:t>
      </w:r>
      <w:r>
        <w:rPr>
          <w:rFonts w:ascii="Verdana"/>
          <w:b/>
          <w:spacing w:val="-12"/>
          <w:sz w:val="16"/>
        </w:rPr>
        <w:t> </w:t>
      </w:r>
      <w:r>
        <w:rPr>
          <w:rFonts w:ascii="Verdana"/>
          <w:b/>
          <w:spacing w:val="-2"/>
          <w:sz w:val="16"/>
        </w:rPr>
        <w:t>of</w:t>
      </w:r>
      <w:r>
        <w:rPr>
          <w:rFonts w:ascii="Verdana"/>
          <w:b/>
          <w:spacing w:val="-12"/>
          <w:sz w:val="16"/>
        </w:rPr>
        <w:t> </w:t>
      </w:r>
      <w:r>
        <w:rPr>
          <w:rFonts w:ascii="Verdana"/>
          <w:b/>
          <w:spacing w:val="-2"/>
          <w:sz w:val="16"/>
        </w:rPr>
        <w:t>Arts</w:t>
      </w:r>
      <w:r>
        <w:rPr>
          <w:rFonts w:ascii="Verdana"/>
          <w:b/>
          <w:spacing w:val="-11"/>
          <w:sz w:val="16"/>
        </w:rPr>
        <w:t> </w:t>
      </w:r>
      <w:r>
        <w:rPr>
          <w:rFonts w:ascii="Verdana"/>
          <w:b/>
          <w:spacing w:val="-2"/>
          <w:sz w:val="16"/>
        </w:rPr>
        <w:t>in</w:t>
      </w:r>
      <w:r>
        <w:rPr>
          <w:rFonts w:ascii="Verdana"/>
          <w:b/>
          <w:spacing w:val="-12"/>
          <w:sz w:val="16"/>
        </w:rPr>
        <w:t> </w:t>
      </w:r>
      <w:r>
        <w:rPr>
          <w:rFonts w:ascii="Verdana"/>
          <w:b/>
          <w:spacing w:val="-2"/>
          <w:sz w:val="16"/>
        </w:rPr>
        <w:t>Spanish</w:t>
      </w:r>
      <w:r>
        <w:rPr>
          <w:rFonts w:ascii="Verdana"/>
          <w:b/>
          <w:spacing w:val="-11"/>
          <w:sz w:val="16"/>
        </w:rPr>
        <w:t> </w:t>
      </w:r>
      <w:r>
        <w:rPr>
          <w:rFonts w:ascii="Verdana"/>
          <w:b/>
          <w:spacing w:val="-2"/>
          <w:sz w:val="16"/>
        </w:rPr>
        <w:t>for</w:t>
      </w:r>
      <w:r>
        <w:rPr>
          <w:rFonts w:ascii="Verdana"/>
          <w:b/>
          <w:spacing w:val="-12"/>
          <w:sz w:val="16"/>
        </w:rPr>
        <w:t> </w:t>
      </w:r>
      <w:r>
        <w:rPr>
          <w:rFonts w:ascii="Verdana"/>
          <w:b/>
          <w:spacing w:val="-2"/>
          <w:sz w:val="16"/>
        </w:rPr>
        <w:t>Business</w:t>
      </w:r>
    </w:p>
    <w:p>
      <w:pPr>
        <w:spacing w:before="75"/>
        <w:ind w:left="118" w:right="0" w:firstLine="0"/>
        <w:jc w:val="left"/>
        <w:rPr>
          <w:sz w:val="22"/>
        </w:rPr>
      </w:pPr>
      <w:r>
        <w:rPr>
          <w:sz w:val="22"/>
        </w:rPr>
        <w:t>University</w:t>
      </w:r>
      <w:r>
        <w:rPr>
          <w:spacing w:val="-12"/>
          <w:sz w:val="22"/>
        </w:rPr>
        <w:t> </w:t>
      </w:r>
      <w:r>
        <w:rPr>
          <w:sz w:val="22"/>
        </w:rPr>
        <w:t>of</w:t>
      </w:r>
      <w:r>
        <w:rPr>
          <w:spacing w:val="-18"/>
          <w:sz w:val="22"/>
        </w:rPr>
        <w:t> </w:t>
      </w:r>
      <w:r>
        <w:rPr>
          <w:sz w:val="22"/>
        </w:rPr>
        <w:t>Texas</w:t>
      </w:r>
      <w:r>
        <w:rPr>
          <w:spacing w:val="-5"/>
          <w:sz w:val="22"/>
        </w:rPr>
        <w:t> </w:t>
      </w:r>
      <w:r>
        <w:rPr>
          <w:sz w:val="22"/>
        </w:rPr>
        <w:t>at</w:t>
      </w:r>
      <w:r>
        <w:rPr>
          <w:spacing w:val="-5"/>
          <w:sz w:val="22"/>
        </w:rPr>
        <w:t> </w:t>
      </w:r>
      <w:r>
        <w:rPr>
          <w:sz w:val="22"/>
        </w:rPr>
        <w:t>El</w:t>
      </w:r>
      <w:r>
        <w:rPr>
          <w:spacing w:val="-13"/>
          <w:sz w:val="22"/>
        </w:rPr>
        <w:t> </w:t>
      </w:r>
      <w:r>
        <w:rPr>
          <w:sz w:val="22"/>
        </w:rPr>
        <w:t>Paso,</w:t>
      </w:r>
      <w:r>
        <w:rPr>
          <w:spacing w:val="-12"/>
          <w:sz w:val="22"/>
        </w:rPr>
        <w:t> </w:t>
      </w:r>
      <w:r>
        <w:rPr>
          <w:sz w:val="22"/>
        </w:rPr>
        <w:t>TX</w:t>
      </w:r>
      <w:r>
        <w:rPr>
          <w:spacing w:val="-8"/>
          <w:sz w:val="22"/>
        </w:rPr>
        <w:t> </w:t>
      </w:r>
      <w:r>
        <w:rPr>
          <w:w w:val="85"/>
          <w:sz w:val="22"/>
        </w:rPr>
        <w:t>|</w:t>
      </w:r>
      <w:r>
        <w:rPr>
          <w:spacing w:val="-5"/>
          <w:sz w:val="22"/>
        </w:rPr>
        <w:t> </w:t>
      </w:r>
      <w:r>
        <w:rPr>
          <w:spacing w:val="-4"/>
          <w:sz w:val="22"/>
        </w:rPr>
        <w:t>2018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118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2025-11-07T19:21:23Z</dcterms:created>
  <dcterms:modified xsi:type="dcterms:W3CDTF">2025-11-07T19:21:23Z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