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w w:val="130"/>
        </w:rPr>
        <w:t>Jesse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-2"/>
          <w:w w:val="125"/>
        </w:rPr>
        <w:t>Martin</w:t>
      </w:r>
    </w:p>
    <w:p>
      <w:pPr>
        <w:pStyle w:val="BodyText"/>
        <w:spacing w:before="111"/>
        <w:ind w:left="1309"/>
        <w:rPr>
          <w:rFonts w:ascii="Calibri"/>
        </w:rPr>
      </w:pPr>
      <w:r>
        <w:rPr>
          <w:rFonts w:ascii="Calibri"/>
          <w:color w:val="FFFFFF"/>
          <w:w w:val="125"/>
        </w:rPr>
        <w:t>Onboarding</w:t>
      </w:r>
      <w:r>
        <w:rPr>
          <w:rFonts w:ascii="Calibri"/>
          <w:color w:val="FFFFFF"/>
          <w:spacing w:val="17"/>
          <w:w w:val="125"/>
        </w:rPr>
        <w:t> </w:t>
      </w:r>
      <w:r>
        <w:rPr>
          <w:rFonts w:ascii="Calibri"/>
          <w:color w:val="FFFFFF"/>
          <w:spacing w:val="-2"/>
          <w:w w:val="125"/>
        </w:rPr>
        <w:t>Manager</w:t>
      </w:r>
    </w:p>
    <w:p>
      <w:pPr>
        <w:pStyle w:val="BodyText"/>
        <w:spacing w:before="81"/>
        <w:ind w:right="98"/>
        <w:jc w:val="right"/>
      </w:pPr>
      <w:r>
        <w:rPr/>
        <w:br w:type="column"/>
      </w: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04"/>
        <w:ind w:right="98"/>
        <w:jc w:val="right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90"/>
        <w:ind w:right="98"/>
        <w:jc w:val="right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spacing w:after="0"/>
        <w:jc w:val="right"/>
        <w:sectPr>
          <w:type w:val="continuous"/>
          <w:pgSz w:w="11920" w:h="16860"/>
          <w:pgMar w:top="760" w:bottom="280" w:left="1220" w:right="900"/>
          <w:cols w:num="2" w:equalWidth="0">
            <w:col w:w="3802" w:space="2769"/>
            <w:col w:w="322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1220" w:right="900"/>
        </w:sectPr>
      </w:pPr>
    </w:p>
    <w:p>
      <w:pPr>
        <w:spacing w:line="280" w:lineRule="auto" w:before="104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Onboarding Specialist dedicated to seamless employee </w:t>
      </w:r>
      <w:r>
        <w:rPr>
          <w:b/>
          <w:spacing w:val="-2"/>
          <w:w w:val="105"/>
          <w:sz w:val="22"/>
        </w:rPr>
        <w:t>transitions</w:t>
      </w:r>
    </w:p>
    <w:p>
      <w:pPr>
        <w:spacing w:line="280" w:lineRule="auto" w:before="107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HR Professional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with 8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years of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experience leading onboarding programs, employee orientation, and new hire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engagement.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Skilled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at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designing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processes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that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set new employees up for long-term success.</w:t>
      </w:r>
    </w:p>
    <w:p>
      <w:pPr>
        <w:pStyle w:val="BodyText"/>
        <w:spacing w:before="143"/>
        <w:rPr>
          <w:b/>
        </w:rPr>
      </w:pPr>
    </w:p>
    <w:p>
      <w:pPr>
        <w:pStyle w:val="Heading1"/>
      </w:pPr>
      <w:r>
        <w:rPr>
          <w:color w:val="00BCA2"/>
          <w:w w:val="125"/>
        </w:rPr>
        <w:t>Professional</w:t>
      </w:r>
      <w:r>
        <w:rPr>
          <w:color w:val="00BCA2"/>
          <w:spacing w:val="10"/>
          <w:w w:val="125"/>
        </w:rPr>
        <w:t> </w:t>
      </w:r>
      <w:r>
        <w:rPr>
          <w:color w:val="00BCA2"/>
          <w:spacing w:val="-2"/>
          <w:w w:val="125"/>
        </w:rPr>
        <w:t>Experience</w:t>
      </w:r>
    </w:p>
    <w:p>
      <w:pPr>
        <w:spacing w:before="209"/>
        <w:ind w:left="11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Onboarding</w:t>
      </w:r>
      <w:r>
        <w:rPr>
          <w:rFonts w:ascii="Calibri"/>
          <w:b/>
          <w:spacing w:val="5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Manager</w:t>
      </w:r>
    </w:p>
    <w:p>
      <w:pPr>
        <w:pStyle w:val="BodyText"/>
        <w:spacing w:before="104"/>
        <w:ind w:left="118"/>
      </w:pPr>
      <w:r>
        <w:rPr/>
        <w:br w:type="column"/>
      </w:r>
      <w:r>
        <w:rPr>
          <w:spacing w:val="-2"/>
          <w:w w:val="105"/>
        </w:rPr>
        <w:t>LinkedIn</w:t>
      </w:r>
    </w:p>
    <w:p>
      <w:pPr>
        <w:pStyle w:val="BodyText"/>
        <w:spacing w:before="242"/>
      </w:pPr>
    </w:p>
    <w:p>
      <w:pPr>
        <w:pStyle w:val="Heading1"/>
        <w:spacing w:before="1"/>
      </w:pPr>
      <w:r>
        <w:rPr>
          <w:color w:val="00BCA2"/>
          <w:w w:val="130"/>
        </w:rPr>
        <w:t>Key</w:t>
      </w:r>
      <w:r>
        <w:rPr>
          <w:color w:val="00BCA2"/>
          <w:spacing w:val="-17"/>
          <w:w w:val="130"/>
        </w:rPr>
        <w:t> </w:t>
      </w:r>
      <w:r>
        <w:rPr>
          <w:color w:val="00BCA2"/>
          <w:spacing w:val="-2"/>
          <w:w w:val="130"/>
        </w:rPr>
        <w:t>Skills</w:t>
      </w:r>
    </w:p>
    <w:p>
      <w:pPr>
        <w:pStyle w:val="BodyText"/>
        <w:spacing w:before="218"/>
        <w:ind w:left="118"/>
      </w:pPr>
      <w:r>
        <w:rPr>
          <w:w w:val="105"/>
        </w:rPr>
        <w:t>ATS</w:t>
      </w:r>
      <w:r>
        <w:rPr>
          <w:spacing w:val="10"/>
          <w:w w:val="105"/>
        </w:rPr>
        <w:t> </w:t>
      </w:r>
      <w:r>
        <w:rPr>
          <w:w w:val="105"/>
        </w:rPr>
        <w:t>onboarding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workflows</w:t>
      </w:r>
    </w:p>
    <w:p>
      <w:pPr>
        <w:pStyle w:val="BodyText"/>
      </w:pPr>
    </w:p>
    <w:p>
      <w:pPr>
        <w:pStyle w:val="BodyText"/>
        <w:spacing w:before="59"/>
      </w:pPr>
    </w:p>
    <w:p>
      <w:pPr>
        <w:pStyle w:val="BodyText"/>
        <w:ind w:left="118"/>
      </w:pPr>
      <w:r>
        <w:rPr>
          <w:w w:val="105"/>
        </w:rPr>
        <w:t>Employee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orientation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spacing w:line="177" w:lineRule="exact" w:before="1"/>
        <w:ind w:left="118"/>
      </w:pPr>
      <w:r>
        <w:rPr/>
        <w:t>First-year</w:t>
      </w:r>
      <w:r>
        <w:rPr>
          <w:spacing w:val="2"/>
        </w:rPr>
        <w:t> </w:t>
      </w:r>
      <w:r>
        <w:rPr>
          <w:spacing w:val="-2"/>
        </w:rPr>
        <w:t>retention</w:t>
      </w:r>
    </w:p>
    <w:p>
      <w:pPr>
        <w:spacing w:after="0" w:line="177" w:lineRule="exact"/>
        <w:sectPr>
          <w:type w:val="continuous"/>
          <w:pgSz w:w="11920" w:h="16860"/>
          <w:pgMar w:top="760" w:bottom="280" w:left="1220" w:right="900"/>
          <w:cols w:num="2" w:equalWidth="0">
            <w:col w:w="6218" w:space="571"/>
            <w:col w:w="3011"/>
          </w:cols>
        </w:sectPr>
      </w:pPr>
    </w:p>
    <w:p>
      <w:pPr>
        <w:spacing w:line="280" w:lineRule="auto" w:before="3"/>
        <w:ind w:left="118" w:right="38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Northwind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Logistics,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Baltimore, MD</w:t>
      </w:r>
    </w:p>
    <w:p>
      <w:pPr>
        <w:spacing w:before="3"/>
        <w:ind w:left="118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pacing w:val="-2"/>
          <w:sz w:val="22"/>
        </w:rPr>
        <w:t>April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2019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spacing w:before="123"/>
        <w:ind w:left="118"/>
      </w:pPr>
      <w:r>
        <w:rPr/>
        <w:br w:type="column"/>
      </w:r>
      <w:r>
        <w:rPr>
          <w:spacing w:val="-2"/>
          <w:w w:val="105"/>
        </w:rPr>
        <w:t>strategy</w:t>
      </w:r>
    </w:p>
    <w:p>
      <w:pPr>
        <w:spacing w:after="0"/>
        <w:sectPr>
          <w:type w:val="continuous"/>
          <w:pgSz w:w="11920" w:h="16860"/>
          <w:pgMar w:top="760" w:bottom="280" w:left="1220" w:right="900"/>
          <w:cols w:num="3" w:equalWidth="0">
            <w:col w:w="2169" w:space="2012"/>
            <w:col w:w="2079" w:space="529"/>
            <w:col w:w="3011"/>
          </w:cols>
        </w:sectPr>
      </w:pPr>
    </w:p>
    <w:p>
      <w:pPr>
        <w:pStyle w:val="BodyText"/>
        <w:spacing w:line="268" w:lineRule="auto" w:before="122"/>
        <w:ind w:left="490"/>
      </w:pPr>
      <w:r>
        <w:rPr>
          <w:w w:val="105"/>
        </w:rPr>
        <w:t>Revamped onboarding process, reducing time-to- productivity by 30%</w:t>
      </w:r>
    </w:p>
    <w:p>
      <w:pPr>
        <w:pStyle w:val="BodyText"/>
        <w:spacing w:line="280" w:lineRule="auto" w:before="103"/>
        <w:ind w:left="490"/>
      </w:pPr>
      <w:r>
        <w:rPr>
          <w:spacing w:val="-2"/>
          <w:w w:val="105"/>
        </w:rPr>
        <w:t>Created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onboarding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portal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that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improved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first-week </w:t>
      </w:r>
      <w:r>
        <w:rPr>
          <w:w w:val="105"/>
        </w:rPr>
        <w:t>engagement by 41%</w:t>
      </w:r>
    </w:p>
    <w:p>
      <w:pPr>
        <w:pStyle w:val="BodyText"/>
        <w:spacing w:line="280" w:lineRule="auto" w:before="92"/>
        <w:ind w:left="490"/>
      </w:pPr>
      <w:r>
        <w:rPr>
          <w:w w:val="105"/>
        </w:rPr>
        <w:t>Increased</w:t>
      </w:r>
      <w:r>
        <w:rPr>
          <w:spacing w:val="-10"/>
          <w:w w:val="105"/>
        </w:rPr>
        <w:t> </w:t>
      </w:r>
      <w:r>
        <w:rPr>
          <w:w w:val="105"/>
        </w:rPr>
        <w:t>90-day</w:t>
      </w:r>
      <w:r>
        <w:rPr>
          <w:spacing w:val="-16"/>
          <w:w w:val="105"/>
        </w:rPr>
        <w:t> </w:t>
      </w:r>
      <w:r>
        <w:rPr>
          <w:w w:val="105"/>
        </w:rPr>
        <w:t>retention</w:t>
      </w:r>
      <w:r>
        <w:rPr>
          <w:spacing w:val="-10"/>
          <w:w w:val="105"/>
        </w:rPr>
        <w:t> </w:t>
      </w:r>
      <w:r>
        <w:rPr>
          <w:w w:val="105"/>
        </w:rPr>
        <w:t>from</w:t>
      </w:r>
      <w:r>
        <w:rPr>
          <w:spacing w:val="-10"/>
          <w:w w:val="105"/>
        </w:rPr>
        <w:t> </w:t>
      </w:r>
      <w:r>
        <w:rPr>
          <w:w w:val="105"/>
        </w:rPr>
        <w:t>72%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89%</w:t>
      </w:r>
      <w:r>
        <w:rPr>
          <w:spacing w:val="-10"/>
          <w:w w:val="105"/>
        </w:rPr>
        <w:t> </w:t>
      </w:r>
      <w:r>
        <w:rPr>
          <w:w w:val="105"/>
        </w:rPr>
        <w:t>over</w:t>
      </w:r>
      <w:r>
        <w:rPr>
          <w:spacing w:val="-15"/>
          <w:w w:val="105"/>
        </w:rPr>
        <w:t> </w:t>
      </w:r>
      <w:r>
        <w:rPr>
          <w:w w:val="105"/>
        </w:rPr>
        <w:t>two </w:t>
      </w:r>
      <w:r>
        <w:rPr>
          <w:spacing w:val="-2"/>
          <w:w w:val="105"/>
        </w:rPr>
        <w:t>years</w:t>
      </w:r>
    </w:p>
    <w:p>
      <w:pPr>
        <w:spacing w:before="232"/>
        <w:ind w:left="11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HR</w:t>
      </w:r>
      <w:r>
        <w:rPr>
          <w:rFonts w:ascii="Calibri"/>
          <w:b/>
          <w:spacing w:val="4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Assistant</w:t>
      </w:r>
    </w:p>
    <w:p>
      <w:pPr>
        <w:spacing w:line="240" w:lineRule="auto" w:before="93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ind w:left="118"/>
      </w:pPr>
      <w:r>
        <w:rPr>
          <w:w w:val="105"/>
        </w:rPr>
        <w:t>HRIS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</w:pPr>
    </w:p>
    <w:p>
      <w:pPr>
        <w:pStyle w:val="BodyText"/>
        <w:spacing w:before="59"/>
      </w:pPr>
    </w:p>
    <w:p>
      <w:pPr>
        <w:pStyle w:val="BodyText"/>
        <w:ind w:left="118"/>
      </w:pPr>
      <w:r>
        <w:rPr>
          <w:spacing w:val="-2"/>
        </w:rPr>
        <w:t>Internal</w:t>
      </w:r>
      <w:r>
        <w:rPr>
          <w:spacing w:val="-7"/>
        </w:rPr>
        <w:t> </w:t>
      </w:r>
      <w:r>
        <w:rPr>
          <w:spacing w:val="-2"/>
        </w:rPr>
        <w:t>communication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8"/>
      </w:pPr>
      <w:r>
        <w:rPr/>
        <w:t>New</w:t>
      </w:r>
      <w:r>
        <w:rPr>
          <w:spacing w:val="4"/>
        </w:rPr>
        <w:t> </w:t>
      </w:r>
      <w:r>
        <w:rPr/>
        <w:t>hire</w:t>
      </w:r>
      <w:r>
        <w:rPr>
          <w:spacing w:val="14"/>
        </w:rPr>
        <w:t> </w:t>
      </w:r>
      <w:r>
        <w:rPr>
          <w:spacing w:val="-2"/>
        </w:rPr>
        <w:t>surveys</w:t>
      </w:r>
    </w:p>
    <w:p>
      <w:pPr>
        <w:spacing w:after="0"/>
        <w:sectPr>
          <w:type w:val="continuous"/>
          <w:pgSz w:w="11920" w:h="16860"/>
          <w:pgMar w:top="760" w:bottom="280" w:left="1220" w:right="900"/>
          <w:cols w:num="2" w:equalWidth="0">
            <w:col w:w="5998" w:space="791"/>
            <w:col w:w="3011"/>
          </w:cols>
        </w:sectPr>
      </w:pPr>
    </w:p>
    <w:p>
      <w:pPr>
        <w:spacing w:line="280" w:lineRule="auto" w:before="91"/>
        <w:ind w:left="118" w:right="38" w:firstLine="0"/>
        <w:jc w:val="left"/>
        <w:rPr>
          <w:i/>
          <w:sz w:val="22"/>
        </w:rPr>
      </w:pPr>
      <w:r>
        <w:rPr>
          <w:i/>
          <w:sz w:val="22"/>
        </w:rPr>
        <w:t>Linden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Manufacturing,</w:t>
      </w:r>
      <w:r>
        <w:rPr>
          <w:i/>
          <w:sz w:val="22"/>
        </w:rPr>
        <w:t> Towson, MD</w:t>
      </w:r>
    </w:p>
    <w:p>
      <w:pPr>
        <w:spacing w:before="91"/>
        <w:ind w:left="0" w:right="3576" w:firstLine="0"/>
        <w:jc w:val="right"/>
        <w:rPr>
          <w:i/>
          <w:sz w:val="22"/>
        </w:rPr>
      </w:pPr>
      <w:r>
        <w:rPr/>
        <w:br w:type="column"/>
      </w:r>
      <w:r>
        <w:rPr>
          <w:i/>
          <w:sz w:val="22"/>
        </w:rPr>
        <w:t>June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March</w:t>
      </w:r>
    </w:p>
    <w:p>
      <w:pPr>
        <w:spacing w:before="44"/>
        <w:ind w:left="0" w:right="3576" w:firstLine="0"/>
        <w:jc w:val="right"/>
        <w:rPr>
          <w:i/>
          <w:sz w:val="22"/>
        </w:rPr>
      </w:pPr>
      <w:r>
        <w:rPr>
          <w:i/>
          <w:spacing w:val="-4"/>
          <w:sz w:val="22"/>
        </w:rPr>
        <w:t>2019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760" w:bottom="280" w:left="1220" w:right="900"/>
          <w:cols w:num="2" w:equalWidth="0">
            <w:col w:w="2405" w:space="1876"/>
            <w:col w:w="5519"/>
          </w:cols>
        </w:sectPr>
      </w:pPr>
    </w:p>
    <w:p>
      <w:pPr>
        <w:pStyle w:val="BodyText"/>
        <w:spacing w:line="280" w:lineRule="auto" w:before="107"/>
        <w:ind w:left="490" w:right="36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7419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419975">
                                <a:moveTo>
                                  <a:pt x="2600324" y="7419974"/>
                                </a:moveTo>
                                <a:lnTo>
                                  <a:pt x="0" y="74199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419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7955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8003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3289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3337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40433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4048124"/>
                            <a:ext cx="1428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14300">
                                <a:moveTo>
                                  <a:pt x="14287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5767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5815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51101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5114924"/>
                            <a:ext cx="714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04775">
                                <a:moveTo>
                                  <a:pt x="714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6435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66762" y="4219574"/>
                            <a:ext cx="4657725" cy="29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7725" h="2962275">
                                <a:moveTo>
                                  <a:pt x="38100" y="2931185"/>
                                </a:moveTo>
                                <a:lnTo>
                                  <a:pt x="21577" y="2914650"/>
                                </a:lnTo>
                                <a:lnTo>
                                  <a:pt x="16535" y="2914650"/>
                                </a:lnTo>
                                <a:lnTo>
                                  <a:pt x="0" y="2931185"/>
                                </a:lnTo>
                                <a:lnTo>
                                  <a:pt x="0" y="2943225"/>
                                </a:lnTo>
                                <a:lnTo>
                                  <a:pt x="0" y="2945752"/>
                                </a:lnTo>
                                <a:lnTo>
                                  <a:pt x="16535" y="2962275"/>
                                </a:lnTo>
                                <a:lnTo>
                                  <a:pt x="21577" y="2962275"/>
                                </a:lnTo>
                                <a:lnTo>
                                  <a:pt x="38100" y="2945752"/>
                                </a:lnTo>
                                <a:lnTo>
                                  <a:pt x="38100" y="2931185"/>
                                </a:lnTo>
                                <a:close/>
                              </a:path>
                              <a:path w="4657725" h="2962275">
                                <a:moveTo>
                                  <a:pt x="38100" y="2493022"/>
                                </a:moveTo>
                                <a:lnTo>
                                  <a:pt x="21577" y="2476500"/>
                                </a:lnTo>
                                <a:lnTo>
                                  <a:pt x="16535" y="2476500"/>
                                </a:lnTo>
                                <a:lnTo>
                                  <a:pt x="0" y="2493022"/>
                                </a:lnTo>
                                <a:lnTo>
                                  <a:pt x="0" y="2505075"/>
                                </a:lnTo>
                                <a:lnTo>
                                  <a:pt x="0" y="2507602"/>
                                </a:lnTo>
                                <a:lnTo>
                                  <a:pt x="16535" y="2524125"/>
                                </a:lnTo>
                                <a:lnTo>
                                  <a:pt x="21577" y="2524125"/>
                                </a:lnTo>
                                <a:lnTo>
                                  <a:pt x="38100" y="2507602"/>
                                </a:lnTo>
                                <a:lnTo>
                                  <a:pt x="38100" y="2493022"/>
                                </a:lnTo>
                                <a:close/>
                              </a:path>
                              <a:path w="4657725" h="2962275">
                                <a:moveTo>
                                  <a:pt x="38100" y="2054885"/>
                                </a:moveTo>
                                <a:lnTo>
                                  <a:pt x="21577" y="2038350"/>
                                </a:lnTo>
                                <a:lnTo>
                                  <a:pt x="16535" y="2038350"/>
                                </a:lnTo>
                                <a:lnTo>
                                  <a:pt x="0" y="2054885"/>
                                </a:lnTo>
                                <a:lnTo>
                                  <a:pt x="0" y="2066925"/>
                                </a:lnTo>
                                <a:lnTo>
                                  <a:pt x="0" y="2069452"/>
                                </a:lnTo>
                                <a:lnTo>
                                  <a:pt x="16535" y="2085975"/>
                                </a:lnTo>
                                <a:lnTo>
                                  <a:pt x="21577" y="2085975"/>
                                </a:lnTo>
                                <a:lnTo>
                                  <a:pt x="38100" y="2069452"/>
                                </a:lnTo>
                                <a:lnTo>
                                  <a:pt x="38100" y="2054885"/>
                                </a:lnTo>
                                <a:close/>
                              </a:path>
                              <a:path w="4657725" h="2962275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4657725" h="2962275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4657725" h="2962275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4657725" h="2962275">
                                <a:moveTo>
                                  <a:pt x="4657725" y="1428750"/>
                                </a:moveTo>
                                <a:lnTo>
                                  <a:pt x="4305300" y="1428750"/>
                                </a:lnTo>
                                <a:lnTo>
                                  <a:pt x="4305300" y="1533525"/>
                                </a:lnTo>
                                <a:lnTo>
                                  <a:pt x="4657725" y="1533525"/>
                                </a:lnTo>
                                <a:lnTo>
                                  <a:pt x="4657725" y="14287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936" id="docshapegroup1" coordorigin="0,0" coordsize="11919,16858">
                <v:rect style="position:absolute;left:0;top:0;width:11919;height:525" id="docshape2" filled="true" fillcolor="#00bca2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00bca2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1685" id="docshape6" filled="true" fillcolor="#f5f5f5" stroked="false">
                  <v:fill type="solid"/>
                </v:rect>
                <v:rect style="position:absolute;left:8137;top:4402;width:2835;height:165" id="docshape7" filled="false" stroked="true" strokeweight=".75pt" strokecolor="#00bca2">
                  <v:stroke dashstyle="solid"/>
                </v:rect>
                <v:rect style="position:absolute;left:8145;top:4410;width:2820;height:165" id="docshape8" filled="true" fillcolor="#00bca2" stroked="false">
                  <v:fill type="solid"/>
                </v:rect>
                <v:rect style="position:absolute;left:8137;top:5242;width:2835;height:165" id="docshape9" filled="false" stroked="true" strokeweight=".75pt" strokecolor="#00bca2">
                  <v:stroke dashstyle="solid"/>
                </v:rect>
                <v:rect style="position:absolute;left:8145;top:5250;width:2250;height:165" id="docshape10" filled="true" fillcolor="#00bca2" stroked="false">
                  <v:fill type="solid"/>
                </v:rect>
                <v:rect style="position:absolute;left:8137;top:6367;width:2835;height:180" id="docshape11" filled="false" stroked="true" strokeweight=".75pt" strokecolor="#00bca2">
                  <v:stroke dashstyle="solid"/>
                </v:rect>
                <v:rect style="position:absolute;left:8145;top:6375;width:2250;height:180" id="docshape12" filled="true" fillcolor="#00bca2" stroked="false">
                  <v:fill type="solid"/>
                </v:rect>
                <v:rect style="position:absolute;left:8137;top:7207;width:2835;height:180" id="docshape13" filled="false" stroked="true" strokeweight=".75pt" strokecolor="#00bca2">
                  <v:stroke dashstyle="solid"/>
                </v:rect>
                <v:rect style="position:absolute;left:8145;top:7215;width:1695;height:165" id="docshape14" filled="true" fillcolor="#00bca2" stroked="false">
                  <v:fill type="solid"/>
                </v:rect>
                <v:rect style="position:absolute;left:8137;top:8047;width:2835;height:165" id="docshape15" filled="false" stroked="true" strokeweight=".75pt" strokecolor="#00bca2">
                  <v:stroke dashstyle="solid"/>
                </v:rect>
                <v:rect style="position:absolute;left:8145;top:8055;width:1125;height:165" id="docshape16" filled="true" fillcolor="#00bca2" stroked="false">
                  <v:fill type="solid"/>
                </v:rect>
                <v:rect style="position:absolute;left:8137;top:8887;width:2835;height:165" id="docshape17" filled="false" stroked="true" strokeweight=".75pt" strokecolor="#00bca2">
                  <v:stroke dashstyle="solid"/>
                </v:rect>
                <v:shape style="position:absolute;left:1364;top:6645;width:7335;height:4665" id="docshape18" coordorigin="1365,6645" coordsize="7335,4665" path="m1425,11261l1424,11257,1421,11250,1419,11247,1413,11241,1410,11239,1403,11236,1399,11235,1391,11235,1387,11236,1380,11239,1377,11241,1371,11247,1369,11250,1366,11257,1365,11261,1365,11280,1365,11284,1366,11288,1369,11295,1371,11298,1377,11304,1380,11306,1387,11309,1391,11310,1399,11310,1403,11309,1410,11306,1413,11304,1419,11298,1421,11295,1424,11288,1425,11284,1425,11261xm1425,10571l1424,10567,1421,10560,1419,10557,1413,10551,1410,10549,1403,10546,1399,10545,1391,10545,1387,10546,1380,10549,1377,10551,1371,10557,1369,10560,1366,10567,1365,10571,1365,10590,1365,10594,1366,10598,1369,10605,1371,10608,1377,10614,1380,10616,1387,10619,1391,10620,1399,10620,1403,10619,1410,10616,1413,10614,1419,10608,1421,10605,1424,10598,1425,10594,1425,10571xm1425,9881l1424,9877,1421,9870,1419,9867,1413,9861,1410,9859,1403,9856,1399,9855,1391,9855,1387,9856,1380,9859,1377,9861,1371,9867,1369,9870,1366,9877,1365,9881,1365,9900,1365,9904,1366,9908,1369,9915,1371,9918,1377,9924,1380,9926,1387,9929,1391,9930,1399,9930,1403,9929,1410,9926,1413,9924,1419,9918,1421,9915,1424,9908,1425,9904,1425,9881xm1425,8051l1424,8047,1421,8040,1419,8037,1413,8031,1410,8029,1403,8026,1399,8025,1391,8025,1387,8026,1380,8029,1377,8031,1371,8037,1369,8040,1366,8047,1365,8051,1365,8070,1365,8074,1366,8078,1369,8085,1371,8088,1377,8094,1380,8096,1387,8099,1391,8100,1399,8100,1403,8099,1410,8096,1413,8094,1419,8088,1421,8085,1424,8078,1425,8074,1425,8051xm1425,7361l1424,7357,1421,7350,1419,7347,1413,7341,1410,7339,1403,7336,1399,7335,1391,7335,1387,7336,1380,7339,1377,7341,1371,7347,1369,7350,1366,7357,1365,7361,1365,7380,1365,7384,1366,7388,1369,7395,1371,7398,1377,7404,1380,7406,1387,7409,1391,7410,1399,7410,1403,7409,1410,7406,1413,7404,1419,7398,1421,7395,1424,7388,1425,7384,1425,7361xm1425,6671l1424,6667,1421,6660,1419,6657,1413,6651,1410,6649,1403,6646,1399,6645,1391,6645,1387,6646,1380,6649,1377,6651,1371,6657,1369,6660,1366,6667,1365,6671,1365,6690,1365,6694,1366,6698,1369,6705,1371,6708,1377,6714,1380,6716,1387,6719,1391,6720,1399,6720,1403,6719,1410,6716,1413,6714,1419,6708,1421,6705,1424,6698,1425,6694,1425,6671xm8700,8895l8145,8895,8145,9060,8700,9060,8700,8895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Scheduled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facilitated</w:t>
      </w:r>
      <w:r>
        <w:rPr>
          <w:spacing w:val="-18"/>
          <w:w w:val="105"/>
        </w:rPr>
        <w:t> </w:t>
      </w:r>
      <w:r>
        <w:rPr>
          <w:w w:val="105"/>
        </w:rPr>
        <w:t>orientation</w:t>
      </w:r>
      <w:r>
        <w:rPr>
          <w:spacing w:val="-17"/>
          <w:w w:val="105"/>
        </w:rPr>
        <w:t> </w:t>
      </w:r>
      <w:r>
        <w:rPr>
          <w:w w:val="105"/>
        </w:rPr>
        <w:t>sessions</w:t>
      </w:r>
      <w:r>
        <w:rPr>
          <w:spacing w:val="-17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500+ new</w:t>
      </w:r>
      <w:r>
        <w:rPr>
          <w:spacing w:val="-10"/>
          <w:w w:val="105"/>
        </w:rPr>
        <w:t> </w:t>
      </w:r>
      <w:r>
        <w:rPr>
          <w:w w:val="105"/>
        </w:rPr>
        <w:t>hires</w:t>
      </w:r>
    </w:p>
    <w:p>
      <w:pPr>
        <w:pStyle w:val="BodyText"/>
        <w:spacing w:line="280" w:lineRule="auto" w:before="92"/>
        <w:ind w:left="490" w:right="3697"/>
      </w:pPr>
      <w:r>
        <w:rPr>
          <w:w w:val="105"/>
        </w:rPr>
        <w:t>Maintained</w:t>
      </w:r>
      <w:r>
        <w:rPr>
          <w:spacing w:val="-3"/>
          <w:w w:val="105"/>
        </w:rPr>
        <w:t> </w:t>
      </w:r>
      <w:r>
        <w:rPr>
          <w:w w:val="105"/>
        </w:rPr>
        <w:t>HRIS</w:t>
      </w:r>
      <w:r>
        <w:rPr>
          <w:spacing w:val="-3"/>
          <w:w w:val="105"/>
        </w:rPr>
        <w:t> </w:t>
      </w:r>
      <w:r>
        <w:rPr>
          <w:w w:val="105"/>
        </w:rPr>
        <w:t>records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onboarding documentation and benefits setup</w:t>
      </w:r>
    </w:p>
    <w:p>
      <w:pPr>
        <w:pStyle w:val="BodyText"/>
        <w:spacing w:before="92"/>
        <w:ind w:left="490"/>
      </w:pPr>
      <w:r>
        <w:rPr/>
        <w:t>Supported</w:t>
      </w:r>
      <w:r>
        <w:rPr>
          <w:spacing w:val="22"/>
        </w:rPr>
        <w:t> </w:t>
      </w:r>
      <w:r>
        <w:rPr/>
        <w:t>relocation</w:t>
      </w:r>
      <w:r>
        <w:rPr>
          <w:spacing w:val="23"/>
        </w:rPr>
        <w:t> </w:t>
      </w:r>
      <w:r>
        <w:rPr/>
        <w:t>logistics</w:t>
      </w:r>
      <w:r>
        <w:rPr>
          <w:spacing w:val="23"/>
        </w:rPr>
        <w:t> </w:t>
      </w:r>
      <w:r>
        <w:rPr/>
        <w:t>for</w:t>
      </w:r>
      <w:r>
        <w:rPr>
          <w:spacing w:val="15"/>
        </w:rPr>
        <w:t> </w:t>
      </w:r>
      <w:r>
        <w:rPr/>
        <w:t>out-of-state</w:t>
      </w:r>
      <w:r>
        <w:rPr>
          <w:spacing w:val="23"/>
        </w:rPr>
        <w:t> </w:t>
      </w:r>
      <w:r>
        <w:rPr>
          <w:spacing w:val="-2"/>
        </w:rPr>
        <w:t>hires</w:t>
      </w:r>
    </w:p>
    <w:p>
      <w:pPr>
        <w:pStyle w:val="BodyText"/>
        <w:spacing w:before="137"/>
        <w:rPr>
          <w:sz w:val="26"/>
        </w:rPr>
      </w:pPr>
    </w:p>
    <w:p>
      <w:pPr>
        <w:pStyle w:val="Heading1"/>
      </w:pPr>
      <w:r>
        <w:rPr>
          <w:color w:val="00BCA2"/>
          <w:spacing w:val="-2"/>
          <w:w w:val="130"/>
        </w:rPr>
        <w:t>Education</w:t>
      </w:r>
    </w:p>
    <w:p>
      <w:pPr>
        <w:spacing w:before="209"/>
        <w:ind w:left="11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25"/>
          <w:sz w:val="18"/>
        </w:rPr>
        <w:t>Bachelor</w:t>
      </w:r>
      <w:r>
        <w:rPr>
          <w:rFonts w:ascii="Calibri"/>
          <w:b/>
          <w:spacing w:val="24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of</w:t>
      </w:r>
      <w:r>
        <w:rPr>
          <w:rFonts w:ascii="Calibri"/>
          <w:b/>
          <w:spacing w:val="24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Science</w:t>
      </w:r>
      <w:r>
        <w:rPr>
          <w:rFonts w:ascii="Calibri"/>
          <w:b/>
          <w:spacing w:val="24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in</w:t>
      </w:r>
      <w:r>
        <w:rPr>
          <w:rFonts w:ascii="Calibri"/>
          <w:b/>
          <w:spacing w:val="24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Human</w:t>
      </w:r>
      <w:r>
        <w:rPr>
          <w:rFonts w:ascii="Calibri"/>
          <w:b/>
          <w:spacing w:val="24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Resource</w:t>
      </w:r>
      <w:r>
        <w:rPr>
          <w:rFonts w:ascii="Calibri"/>
          <w:b/>
          <w:spacing w:val="24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Development</w:t>
      </w:r>
      <w:r>
        <w:rPr>
          <w:rFonts w:ascii="Calibri"/>
          <w:b/>
          <w:spacing w:val="25"/>
          <w:w w:val="125"/>
          <w:sz w:val="18"/>
        </w:rPr>
        <w:t> </w:t>
      </w:r>
      <w:r>
        <w:rPr>
          <w:rFonts w:ascii="Calibri"/>
          <w:b/>
          <w:sz w:val="18"/>
        </w:rPr>
        <w:t>|</w:t>
      </w:r>
      <w:r>
        <w:rPr>
          <w:rFonts w:ascii="Calibri"/>
          <w:b/>
          <w:spacing w:val="24"/>
          <w:w w:val="125"/>
          <w:sz w:val="18"/>
        </w:rPr>
        <w:t> </w:t>
      </w:r>
      <w:r>
        <w:rPr>
          <w:rFonts w:ascii="Calibri"/>
          <w:b/>
          <w:spacing w:val="-4"/>
          <w:w w:val="125"/>
          <w:sz w:val="18"/>
        </w:rPr>
        <w:t>2014</w:t>
      </w:r>
    </w:p>
    <w:p>
      <w:pPr>
        <w:pStyle w:val="BodyText"/>
        <w:spacing w:before="105"/>
        <w:ind w:left="118"/>
      </w:pPr>
      <w:r>
        <w:rPr/>
        <w:t>Towson</w:t>
      </w:r>
      <w:r>
        <w:rPr>
          <w:spacing w:val="1"/>
        </w:rPr>
        <w:t> </w:t>
      </w:r>
      <w:r>
        <w:rPr/>
        <w:t>University,</w:t>
      </w:r>
      <w:r>
        <w:rPr>
          <w:spacing w:val="-5"/>
        </w:rPr>
        <w:t> </w:t>
      </w:r>
      <w:r>
        <w:rPr/>
        <w:t>Towson,</w:t>
      </w:r>
      <w:r>
        <w:rPr>
          <w:spacing w:val="1"/>
        </w:rPr>
        <w:t> </w:t>
      </w:r>
      <w:r>
        <w:rPr>
          <w:spacing w:val="-5"/>
        </w:rPr>
        <w:t>MD</w:t>
      </w:r>
    </w:p>
    <w:sectPr>
      <w:type w:val="continuous"/>
      <w:pgSz w:w="11920" w:h="16860"/>
      <w:pgMar w:top="76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0"/>
      <w:ind w:left="1309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2025-11-09T18:18:02Z</dcterms:created>
  <dcterms:modified xsi:type="dcterms:W3CDTF">2025-11-09T18:18:02Z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