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Young</w:t>
      </w:r>
    </w:p>
    <w:p>
      <w:pPr>
        <w:spacing w:before="149"/>
        <w:ind w:left="125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pacing w:val="2"/>
          <w:sz w:val="29"/>
        </w:rPr>
        <w:t>Intellectual</w:t>
      </w:r>
      <w:r>
        <w:rPr>
          <w:rFonts w:ascii="Microsoft Sans Serif"/>
          <w:color w:val="FFFFFF"/>
          <w:spacing w:val="45"/>
          <w:sz w:val="29"/>
        </w:rPr>
        <w:t> </w:t>
      </w:r>
      <w:r>
        <w:rPr>
          <w:rFonts w:ascii="Microsoft Sans Serif"/>
          <w:color w:val="FFFFFF"/>
          <w:spacing w:val="2"/>
          <w:sz w:val="29"/>
        </w:rPr>
        <w:t>Property</w:t>
      </w:r>
      <w:r>
        <w:rPr>
          <w:rFonts w:ascii="Microsoft Sans Serif"/>
          <w:color w:val="FFFFFF"/>
          <w:spacing w:val="45"/>
          <w:sz w:val="29"/>
        </w:rPr>
        <w:t> </w:t>
      </w:r>
      <w:r>
        <w:rPr>
          <w:rFonts w:ascii="Microsoft Sans Serif"/>
          <w:color w:val="FFFFFF"/>
          <w:spacing w:val="2"/>
          <w:sz w:val="29"/>
        </w:rPr>
        <w:t>Legal</w:t>
      </w:r>
      <w:r>
        <w:rPr>
          <w:rFonts w:ascii="Microsoft Sans Serif"/>
          <w:color w:val="FFFFFF"/>
          <w:spacing w:val="45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Assistant</w:t>
      </w:r>
    </w:p>
    <w:p>
      <w:pPr>
        <w:pStyle w:val="BodyText"/>
        <w:spacing w:before="83"/>
        <w:ind w:right="6"/>
        <w:jc w:val="right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91"/>
        <w:ind w:right="6"/>
        <w:jc w:val="right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77"/>
        <w:ind w:right="6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740" w:bottom="280" w:left="1275" w:right="992"/>
          <w:cols w:num="2" w:equalWidth="0">
            <w:col w:w="6148" w:space="40"/>
            <w:col w:w="346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992"/>
        </w:sectPr>
      </w:pPr>
    </w:p>
    <w:p>
      <w:pPr>
        <w:pStyle w:val="Heading3"/>
        <w:spacing w:line="268" w:lineRule="auto" w:before="107"/>
      </w:pPr>
      <w:r>
        <w:rPr>
          <w:w w:val="130"/>
        </w:rPr>
        <w:t>IP Legal Assistant with experience managing patent and trademark applications</w:t>
      </w:r>
    </w:p>
    <w:p>
      <w:pPr>
        <w:spacing w:line="264" w:lineRule="auto" w:before="103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Precise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reliable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Legal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Assistant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8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9"/>
          <w:w w:val="130"/>
          <w:sz w:val="22"/>
        </w:rPr>
        <w:t> </w:t>
      </w:r>
      <w:r>
        <w:rPr>
          <w:b/>
          <w:w w:val="130"/>
          <w:sz w:val="22"/>
        </w:rPr>
        <w:t>of experience supporting intellectual property attorneys.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Experienced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USPTO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filings,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docketing deadlines, and maintaining IP portfolios for tech and manufacturing clients.</w:t>
      </w:r>
    </w:p>
    <w:p>
      <w:pPr>
        <w:pStyle w:val="BodyText"/>
        <w:spacing w:line="268" w:lineRule="auto" w:before="107"/>
        <w:ind w:left="63"/>
      </w:pPr>
      <w:r>
        <w:rPr/>
        <w:br w:type="column"/>
      </w:r>
      <w:hyperlink r:id="rId6">
        <w:r>
          <w:rPr>
            <w:spacing w:val="-2"/>
            <w:w w:val="120"/>
          </w:rPr>
          <w:t>www.example.com/portf</w:t>
        </w:r>
      </w:hyperlink>
      <w:r>
        <w:rPr>
          <w:spacing w:val="-2"/>
          <w:w w:val="120"/>
        </w:rPr>
        <w:t> </w:t>
      </w:r>
      <w:r>
        <w:rPr>
          <w:spacing w:val="-4"/>
          <w:w w:val="120"/>
        </w:rPr>
        <w:t>olio</w:t>
      </w:r>
    </w:p>
    <w:p>
      <w:pPr>
        <w:pStyle w:val="BodyText"/>
        <w:spacing w:before="205"/>
      </w:pPr>
    </w:p>
    <w:p>
      <w:pPr>
        <w:pStyle w:val="Heading2"/>
      </w:pPr>
      <w:r>
        <w:rPr>
          <w:color w:val="0F2973"/>
          <w:spacing w:val="-5"/>
        </w:rPr>
        <w:t>Key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line="268" w:lineRule="auto" w:before="200"/>
        <w:ind w:left="63"/>
      </w:pPr>
      <w:r>
        <w:rPr>
          <w:w w:val="125"/>
        </w:rPr>
        <w:t>Docketing patent </w:t>
      </w:r>
      <w:r>
        <w:rPr>
          <w:spacing w:val="-2"/>
          <w:w w:val="125"/>
        </w:rPr>
        <w:t>deadlines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1275" w:right="992"/>
          <w:cols w:num="2" w:equalWidth="0">
            <w:col w:w="5997" w:space="792"/>
            <w:col w:w="2864"/>
          </w:cols>
        </w:sect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992"/>
        </w:sectPr>
      </w:pPr>
    </w:p>
    <w:p>
      <w:pPr>
        <w:pStyle w:val="Heading2"/>
        <w:spacing w:before="99"/>
      </w:pP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3"/>
        <w:spacing w:before="219"/>
        <w:rPr>
          <w:rFonts w:ascii="Arial"/>
        </w:rPr>
      </w:pPr>
      <w:r>
        <w:rPr>
          <w:rFonts w:ascii="Arial"/>
        </w:rPr>
        <w:t>IP</w:t>
      </w:r>
      <w:r>
        <w:rPr>
          <w:rFonts w:ascii="Arial"/>
          <w:spacing w:val="-6"/>
        </w:rPr>
        <w:t> </w:t>
      </w:r>
      <w:r>
        <w:rPr>
          <w:rFonts w:ascii="Arial"/>
        </w:rPr>
        <w:t>Legal</w:t>
      </w:r>
      <w:r>
        <w:rPr>
          <w:rFonts w:ascii="Arial"/>
          <w:spacing w:val="-6"/>
        </w:rPr>
        <w:t> </w:t>
      </w:r>
      <w:r>
        <w:rPr>
          <w:rFonts w:ascii="Arial"/>
          <w:spacing w:val="-2"/>
        </w:rPr>
        <w:t>Assistant</w:t>
      </w:r>
    </w:p>
    <w:p>
      <w:pPr>
        <w:spacing w:line="268" w:lineRule="auto" w:before="89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Franklin &amp; Mendel LLP,</w:t>
      </w:r>
      <w:r>
        <w:rPr>
          <w:i/>
          <w:w w:val="120"/>
          <w:sz w:val="22"/>
        </w:rPr>
        <w:t> Seattle, WA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spacing w:before="153"/>
        <w:rPr>
          <w:i/>
        </w:rPr>
      </w:pPr>
    </w:p>
    <w:p>
      <w:pPr>
        <w:spacing w:before="0"/>
        <w:ind w:left="0" w:right="0" w:firstLine="0"/>
        <w:jc w:val="right"/>
        <w:rPr>
          <w:i/>
          <w:sz w:val="22"/>
        </w:rPr>
      </w:pPr>
      <w:r>
        <w:rPr>
          <w:i/>
          <w:w w:val="125"/>
          <w:sz w:val="22"/>
        </w:rPr>
        <w:t>January</w:t>
      </w:r>
      <w:r>
        <w:rPr>
          <w:i/>
          <w:spacing w:val="12"/>
          <w:w w:val="125"/>
          <w:sz w:val="22"/>
        </w:rPr>
        <w:t> </w:t>
      </w:r>
      <w:r>
        <w:rPr>
          <w:i/>
          <w:w w:val="125"/>
          <w:sz w:val="22"/>
        </w:rPr>
        <w:t>2020</w:t>
      </w:r>
      <w:r>
        <w:rPr>
          <w:i/>
          <w:spacing w:val="13"/>
          <w:w w:val="125"/>
          <w:sz w:val="22"/>
        </w:rPr>
        <w:t> </w:t>
      </w:r>
      <w:r>
        <w:rPr>
          <w:i/>
          <w:spacing w:val="-10"/>
          <w:w w:val="125"/>
          <w:sz w:val="22"/>
        </w:rPr>
        <w:t>-</w:t>
      </w:r>
    </w:p>
    <w:p>
      <w:pPr>
        <w:spacing w:before="32"/>
        <w:ind w:left="0" w:right="0" w:firstLine="0"/>
        <w:jc w:val="right"/>
        <w:rPr>
          <w:i/>
          <w:sz w:val="22"/>
        </w:rPr>
      </w:pPr>
      <w:r>
        <w:rPr>
          <w:i/>
          <w:spacing w:val="-2"/>
          <w:w w:val="130"/>
          <w:sz w:val="22"/>
        </w:rPr>
        <w:t>Present</w:t>
      </w:r>
    </w:p>
    <w:p>
      <w:pPr>
        <w:pStyle w:val="BodyText"/>
        <w:spacing w:line="268" w:lineRule="auto" w:before="194"/>
        <w:ind w:left="63"/>
      </w:pPr>
      <w:r>
        <w:rPr/>
        <w:br w:type="column"/>
      </w:r>
      <w:r>
        <w:rPr>
          <w:w w:val="125"/>
        </w:rPr>
        <w:t>Intellectual property database management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63"/>
      </w:pPr>
      <w:r>
        <w:rPr>
          <w:w w:val="125"/>
        </w:rPr>
        <w:t>Patent</w:t>
      </w:r>
      <w:r>
        <w:rPr>
          <w:spacing w:val="1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trademark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3" w:equalWidth="0">
            <w:col w:w="3069" w:space="1353"/>
            <w:col w:w="1744" w:space="623"/>
            <w:col w:w="2864"/>
          </w:cols>
        </w:sectPr>
      </w:pPr>
    </w:p>
    <w:p>
      <w:pPr>
        <w:pStyle w:val="BodyText"/>
        <w:spacing w:line="268" w:lineRule="auto" w:before="62"/>
        <w:ind w:left="435"/>
      </w:pPr>
      <w:r>
        <w:rPr>
          <w:w w:val="125"/>
        </w:rPr>
        <w:t>File and track domestic and international trademark applications via USPTO and WIPO</w:t>
      </w:r>
    </w:p>
    <w:p>
      <w:pPr>
        <w:pStyle w:val="BodyText"/>
        <w:spacing w:line="268" w:lineRule="auto" w:before="88"/>
        <w:ind w:left="435"/>
      </w:pPr>
      <w:r>
        <w:rPr>
          <w:w w:val="125"/>
        </w:rPr>
        <w:t>Maintain</w:t>
      </w:r>
      <w:r>
        <w:rPr>
          <w:spacing w:val="-14"/>
          <w:w w:val="125"/>
        </w:rPr>
        <w:t> </w:t>
      </w:r>
      <w:r>
        <w:rPr>
          <w:w w:val="125"/>
        </w:rPr>
        <w:t>docketing</w:t>
      </w:r>
      <w:r>
        <w:rPr>
          <w:spacing w:val="-14"/>
          <w:w w:val="125"/>
        </w:rPr>
        <w:t> </w:t>
      </w:r>
      <w:r>
        <w:rPr>
          <w:w w:val="125"/>
        </w:rPr>
        <w:t>system</w:t>
      </w:r>
      <w:r>
        <w:rPr>
          <w:spacing w:val="-14"/>
          <w:w w:val="125"/>
        </w:rPr>
        <w:t> </w:t>
      </w:r>
      <w:r>
        <w:rPr>
          <w:w w:val="125"/>
        </w:rPr>
        <w:t>for</w:t>
      </w:r>
      <w:r>
        <w:rPr>
          <w:spacing w:val="-14"/>
          <w:w w:val="125"/>
        </w:rPr>
        <w:t> </w:t>
      </w:r>
      <w:r>
        <w:rPr>
          <w:w w:val="125"/>
        </w:rPr>
        <w:t>over</w:t>
      </w:r>
      <w:r>
        <w:rPr>
          <w:spacing w:val="-14"/>
          <w:w w:val="125"/>
        </w:rPr>
        <w:t> </w:t>
      </w:r>
      <w:r>
        <w:rPr>
          <w:w w:val="125"/>
        </w:rPr>
        <w:t>200</w:t>
      </w:r>
      <w:r>
        <w:rPr>
          <w:spacing w:val="-14"/>
          <w:w w:val="125"/>
        </w:rPr>
        <w:t> </w:t>
      </w:r>
      <w:r>
        <w:rPr>
          <w:w w:val="125"/>
        </w:rPr>
        <w:t>active </w:t>
      </w:r>
      <w:r>
        <w:rPr>
          <w:spacing w:val="-2"/>
          <w:w w:val="125"/>
        </w:rPr>
        <w:t>filings</w:t>
      </w:r>
    </w:p>
    <w:p>
      <w:pPr>
        <w:pStyle w:val="BodyText"/>
        <w:spacing w:line="254" w:lineRule="auto" w:before="88"/>
        <w:ind w:left="435"/>
      </w:pPr>
      <w:r>
        <w:rPr>
          <w:w w:val="125"/>
        </w:rPr>
        <w:t>Prepare assignment documents and IP ownership </w:t>
      </w:r>
      <w:r>
        <w:rPr>
          <w:spacing w:val="-2"/>
          <w:w w:val="125"/>
        </w:rPr>
        <w:t>agreements</w:t>
      </w:r>
    </w:p>
    <w:p>
      <w:pPr>
        <w:pStyle w:val="Heading3"/>
        <w:spacing w:before="259"/>
        <w:rPr>
          <w:rFonts w:ascii="Arial" w:hAnsi="Arial"/>
        </w:rPr>
      </w:pPr>
      <w:r>
        <w:rPr>
          <w:rFonts w:ascii="Arial" w:hAnsi="Arial"/>
        </w:rPr>
        <w:t>Legal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Assistant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Patent</w:t>
      </w:r>
      <w:r>
        <w:rPr>
          <w:rFonts w:ascii="Arial" w:hAnsi="Arial"/>
          <w:spacing w:val="-2"/>
        </w:rPr>
        <w:t> </w:t>
      </w:r>
      <w:r>
        <w:rPr>
          <w:rFonts w:ascii="Arial" w:hAnsi="Arial"/>
          <w:spacing w:val="-5"/>
        </w:rPr>
        <w:t>Law</w:t>
      </w:r>
    </w:p>
    <w:p>
      <w:pPr>
        <w:pStyle w:val="BodyText"/>
        <w:spacing w:before="17"/>
        <w:ind w:left="63"/>
      </w:pPr>
      <w:r>
        <w:rPr/>
        <w:br w:type="column"/>
      </w:r>
      <w:r>
        <w:rPr>
          <w:spacing w:val="-2"/>
          <w:w w:val="125"/>
        </w:rPr>
        <w:t>filings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spacing w:line="268" w:lineRule="auto"/>
        <w:ind w:left="63"/>
      </w:pPr>
      <w:r>
        <w:rPr>
          <w:w w:val="125"/>
        </w:rPr>
        <w:t>Proofreading</w:t>
      </w:r>
      <w:r>
        <w:rPr>
          <w:spacing w:val="-16"/>
          <w:w w:val="125"/>
        </w:rPr>
        <w:t> </w:t>
      </w:r>
      <w:r>
        <w:rPr>
          <w:w w:val="125"/>
        </w:rPr>
        <w:t>legal </w:t>
      </w:r>
      <w:r>
        <w:rPr>
          <w:spacing w:val="-2"/>
          <w:w w:val="125"/>
        </w:rPr>
        <w:t>documents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63"/>
      </w:pPr>
      <w:r>
        <w:rPr>
          <w:w w:val="125"/>
        </w:rPr>
        <w:t>USPTO</w:t>
      </w:r>
      <w:r>
        <w:rPr>
          <w:spacing w:val="-3"/>
          <w:w w:val="125"/>
        </w:rPr>
        <w:t> </w:t>
      </w:r>
      <w:r>
        <w:rPr>
          <w:w w:val="125"/>
        </w:rPr>
        <w:t>online</w:t>
      </w:r>
      <w:r>
        <w:rPr>
          <w:spacing w:val="-2"/>
          <w:w w:val="125"/>
        </w:rPr>
        <w:t> system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2" w:equalWidth="0">
            <w:col w:w="6063" w:space="726"/>
            <w:col w:w="2864"/>
          </w:cols>
        </w:sectPr>
      </w:pPr>
    </w:p>
    <w:p>
      <w:pPr>
        <w:spacing w:line="254" w:lineRule="auto" w:before="89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Blake &amp; Norris IP Law,</w:t>
      </w:r>
      <w:r>
        <w:rPr>
          <w:i/>
          <w:w w:val="120"/>
          <w:sz w:val="22"/>
        </w:rPr>
        <w:t> Seattle, WA</w:t>
      </w:r>
    </w:p>
    <w:p>
      <w:pPr>
        <w:spacing w:before="89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August</w:t>
      </w:r>
      <w:r>
        <w:rPr>
          <w:i/>
          <w:spacing w:val="-6"/>
          <w:w w:val="120"/>
          <w:sz w:val="22"/>
        </w:rPr>
        <w:t> </w:t>
      </w:r>
      <w:r>
        <w:rPr>
          <w:i/>
          <w:w w:val="120"/>
          <w:sz w:val="22"/>
        </w:rPr>
        <w:t>2015</w:t>
      </w:r>
      <w:r>
        <w:rPr>
          <w:i/>
          <w:spacing w:val="-6"/>
          <w:w w:val="120"/>
          <w:sz w:val="22"/>
        </w:rPr>
        <w:t> </w:t>
      </w:r>
      <w:r>
        <w:rPr>
          <w:i/>
          <w:spacing w:val="-10"/>
          <w:w w:val="120"/>
          <w:sz w:val="22"/>
        </w:rPr>
        <w:t>-</w:t>
      </w:r>
    </w:p>
    <w:p>
      <w:pPr>
        <w:spacing w:before="17"/>
        <w:ind w:left="0" w:right="0" w:firstLine="0"/>
        <w:jc w:val="right"/>
        <w:rPr>
          <w:i/>
          <w:sz w:val="22"/>
        </w:rPr>
      </w:pPr>
      <w:r>
        <w:rPr>
          <w:i/>
          <w:spacing w:val="6"/>
          <w:w w:val="120"/>
          <w:sz w:val="22"/>
        </w:rPr>
        <w:t>December</w:t>
      </w:r>
      <w:r>
        <w:rPr>
          <w:i/>
          <w:spacing w:val="44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pStyle w:val="BodyText"/>
        <w:spacing w:line="280" w:lineRule="atLeast" w:before="263"/>
        <w:ind w:left="63"/>
      </w:pPr>
      <w:r>
        <w:rPr/>
        <w:br w:type="column"/>
      </w:r>
      <w:r>
        <w:rPr>
          <w:w w:val="125"/>
        </w:rPr>
        <w:t>International</w:t>
      </w:r>
      <w:r>
        <w:rPr>
          <w:spacing w:val="-16"/>
          <w:w w:val="125"/>
        </w:rPr>
        <w:t> </w:t>
      </w:r>
      <w:r>
        <w:rPr>
          <w:w w:val="125"/>
        </w:rPr>
        <w:t>IP </w:t>
      </w:r>
      <w:r>
        <w:rPr>
          <w:spacing w:val="-2"/>
          <w:w w:val="125"/>
        </w:rPr>
        <w:t>coordination</w:t>
      </w:r>
    </w:p>
    <w:p>
      <w:pPr>
        <w:pStyle w:val="BodyText"/>
        <w:spacing w:after="0" w:line="280" w:lineRule="atLeast"/>
        <w:sectPr>
          <w:type w:val="continuous"/>
          <w:pgSz w:w="11920" w:h="16860"/>
          <w:pgMar w:top="740" w:bottom="280" w:left="1275" w:right="992"/>
          <w:cols w:num="3" w:equalWidth="0">
            <w:col w:w="2498" w:space="1864"/>
            <w:col w:w="1803" w:space="624"/>
            <w:col w:w="2864"/>
          </w:cols>
        </w:sectPr>
      </w:pPr>
    </w:p>
    <w:p>
      <w:pPr>
        <w:pStyle w:val="BodyText"/>
        <w:spacing w:line="240" w:lineRule="exact"/>
        <w:ind w:left="435"/>
      </w:pPr>
      <w:r>
        <w:rPr>
          <w:spacing w:val="-2"/>
          <w:w w:val="125"/>
        </w:rPr>
        <w:t>Assisted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patent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attorneys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with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patent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office</w:t>
      </w:r>
    </w:p>
    <w:p>
      <w:pPr>
        <w:pStyle w:val="BodyText"/>
        <w:spacing w:before="31"/>
        <w:ind w:left="435"/>
      </w:pPr>
      <w:r>
        <w:rPr>
          <w:w w:val="125"/>
        </w:rPr>
        <w:t>responses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formal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drawings</w:t>
      </w:r>
    </w:p>
    <w:p>
      <w:pPr>
        <w:pStyle w:val="BodyText"/>
        <w:spacing w:line="254" w:lineRule="auto" w:before="122"/>
        <w:ind w:left="435"/>
      </w:pPr>
      <w:r>
        <w:rPr>
          <w:w w:val="125"/>
        </w:rPr>
        <w:t>Updated</w:t>
      </w:r>
      <w:r>
        <w:rPr>
          <w:spacing w:val="-6"/>
          <w:w w:val="125"/>
        </w:rPr>
        <w:t> </w:t>
      </w:r>
      <w:r>
        <w:rPr>
          <w:w w:val="125"/>
        </w:rPr>
        <w:t>client</w:t>
      </w:r>
      <w:r>
        <w:rPr>
          <w:spacing w:val="-6"/>
          <w:w w:val="125"/>
        </w:rPr>
        <w:t> </w:t>
      </w:r>
      <w:r>
        <w:rPr>
          <w:w w:val="125"/>
        </w:rPr>
        <w:t>portfolios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tracked</w:t>
      </w:r>
      <w:r>
        <w:rPr>
          <w:spacing w:val="-6"/>
          <w:w w:val="125"/>
        </w:rPr>
        <w:t> </w:t>
      </w:r>
      <w:r>
        <w:rPr>
          <w:w w:val="125"/>
        </w:rPr>
        <w:t>maintenance </w:t>
      </w:r>
      <w:r>
        <w:rPr>
          <w:spacing w:val="-2"/>
          <w:w w:val="125"/>
        </w:rPr>
        <w:t>deadlines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9"/>
      </w:pPr>
    </w:p>
    <w:p>
      <w:pPr>
        <w:pStyle w:val="BodyText"/>
        <w:ind w:left="435"/>
      </w:pPr>
      <w:r>
        <w:rPr>
          <w:w w:val="125"/>
        </w:rPr>
        <w:t>Adobe</w:t>
      </w:r>
      <w:r>
        <w:rPr>
          <w:spacing w:val="-11"/>
          <w:w w:val="125"/>
        </w:rPr>
        <w:t> </w:t>
      </w:r>
      <w:r>
        <w:rPr>
          <w:w w:val="125"/>
        </w:rPr>
        <w:t>Acrobat</w:t>
      </w:r>
      <w:r>
        <w:rPr>
          <w:spacing w:val="-10"/>
          <w:w w:val="125"/>
        </w:rPr>
        <w:t> </w:t>
      </w:r>
      <w:r>
        <w:rPr>
          <w:spacing w:val="-5"/>
          <w:w w:val="125"/>
        </w:rPr>
        <w:t>Pro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2" w:equalWidth="0">
            <w:col w:w="6195" w:space="222"/>
            <w:col w:w="3236"/>
          </w:cols>
        </w:sectPr>
      </w:pPr>
    </w:p>
    <w:p>
      <w:pPr>
        <w:pStyle w:val="BodyText"/>
        <w:spacing w:before="128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43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439025">
                                <a:moveTo>
                                  <a:pt x="2600324" y="7439024"/>
                                </a:moveTo>
                                <a:lnTo>
                                  <a:pt x="0" y="74390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439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3176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3181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8909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89572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46148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461962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53292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5333999"/>
                            <a:ext cx="10763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4300">
                                <a:moveTo>
                                  <a:pt x="10763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58626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58673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65865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6591299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71199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66762" y="4429124"/>
                            <a:ext cx="501967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800350">
                                <a:moveTo>
                                  <a:pt x="38100" y="2521610"/>
                                </a:moveTo>
                                <a:lnTo>
                                  <a:pt x="21577" y="2505075"/>
                                </a:lnTo>
                                <a:lnTo>
                                  <a:pt x="16535" y="2505075"/>
                                </a:lnTo>
                                <a:lnTo>
                                  <a:pt x="0" y="2521610"/>
                                </a:lnTo>
                                <a:lnTo>
                                  <a:pt x="0" y="2533650"/>
                                </a:lnTo>
                                <a:lnTo>
                                  <a:pt x="0" y="2536177"/>
                                </a:lnTo>
                                <a:lnTo>
                                  <a:pt x="16535" y="2552700"/>
                                </a:lnTo>
                                <a:lnTo>
                                  <a:pt x="21577" y="2552700"/>
                                </a:lnTo>
                                <a:lnTo>
                                  <a:pt x="38100" y="2536177"/>
                                </a:lnTo>
                                <a:lnTo>
                                  <a:pt x="38100" y="2521610"/>
                                </a:lnTo>
                                <a:close/>
                              </a:path>
                              <a:path w="5019675" h="2800350">
                                <a:moveTo>
                                  <a:pt x="38100" y="2083460"/>
                                </a:moveTo>
                                <a:lnTo>
                                  <a:pt x="21577" y="2066925"/>
                                </a:lnTo>
                                <a:lnTo>
                                  <a:pt x="16535" y="2066925"/>
                                </a:lnTo>
                                <a:lnTo>
                                  <a:pt x="0" y="2083460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21577" y="2114550"/>
                                </a:lnTo>
                                <a:lnTo>
                                  <a:pt x="38100" y="2098027"/>
                                </a:lnTo>
                                <a:lnTo>
                                  <a:pt x="38100" y="2083460"/>
                                </a:lnTo>
                                <a:close/>
                              </a:path>
                              <a:path w="5019675" h="280035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28003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8003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800350">
                                <a:moveTo>
                                  <a:pt x="5019675" y="2695575"/>
                                </a:moveTo>
                                <a:lnTo>
                                  <a:pt x="4305300" y="2695575"/>
                                </a:lnTo>
                                <a:lnTo>
                                  <a:pt x="4305300" y="2800350"/>
                                </a:lnTo>
                                <a:lnTo>
                                  <a:pt x="5019675" y="2800350"/>
                                </a:lnTo>
                                <a:lnTo>
                                  <a:pt x="5019675" y="2695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9568" id="docshapegroup1" coordorigin="0,0" coordsize="11919,16858">
                <v:rect style="position:absolute;left:0;top:0;width:11919;height:525" id="docshape2" filled="true" fillcolor="#0f2973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0f2973" stroked="false">
                  <v:fill type="solid"/>
                </v:rect>
                <v:shape style="position:absolute;left:1335;top:915;width:930;height:930" type="#_x0000_t75" id="docshape5" stroked="false">
                  <v:imagedata r:id="rId7" o:title=""/>
                </v:shape>
                <v:rect style="position:absolute;left:7815;top:2235;width:4095;height:11715" id="docshape6" filled="true" fillcolor="#f5f5f5" stroked="false">
                  <v:fill type="solid"/>
                </v:rect>
                <v:rect style="position:absolute;left:8137;top:5002;width:2835;height:165" id="docshape7" filled="false" stroked="true" strokeweight=".75pt" strokecolor="#0f2973">
                  <v:stroke dashstyle="solid"/>
                </v:rect>
                <v:rect style="position:absolute;left:8145;top:5010;width:2820;height:165" id="docshape8" filled="true" fillcolor="#0f2973" stroked="false">
                  <v:fill type="solid"/>
                </v:rect>
                <v:rect style="position:absolute;left:8137;top:6127;width:2835;height:180" id="docshape9" filled="false" stroked="true" strokeweight=".75pt" strokecolor="#0f2973">
                  <v:stroke dashstyle="solid"/>
                </v:rect>
                <v:rect style="position:absolute;left:8145;top:6135;width:2250;height:165" id="docshape10" filled="true" fillcolor="#0f2973" stroked="false">
                  <v:fill type="solid"/>
                </v:rect>
                <v:rect style="position:absolute;left:8137;top:7267;width:2835;height:165" id="docshape11" filled="false" stroked="true" strokeweight=".75pt" strokecolor="#0f2973">
                  <v:stroke dashstyle="solid"/>
                </v:rect>
                <v:rect style="position:absolute;left:8145;top:7275;width:2250;height:165" id="docshape12" filled="true" fillcolor="#0f2973" stroked="false">
                  <v:fill type="solid"/>
                </v:rect>
                <v:rect style="position:absolute;left:8137;top:8392;width:2835;height:180" id="docshape13" filled="false" stroked="true" strokeweight=".75pt" strokecolor="#0f2973">
                  <v:stroke dashstyle="solid"/>
                </v:rect>
                <v:rect style="position:absolute;left:8145;top:8400;width:1695;height:180" id="docshape14" filled="true" fillcolor="#0f2973" stroked="false">
                  <v:fill type="solid"/>
                </v:rect>
                <v:rect style="position:absolute;left:8137;top:9232;width:2835;height:180" id="docshape15" filled="false" stroked="true" strokeweight=".75pt" strokecolor="#0f2973">
                  <v:stroke dashstyle="solid"/>
                </v:rect>
                <v:rect style="position:absolute;left:8145;top:9240;width:1695;height:165" id="docshape16" filled="true" fillcolor="#0f2973" stroked="false">
                  <v:fill type="solid"/>
                </v:rect>
                <v:rect style="position:absolute;left:8137;top:10372;width:2835;height:165" id="docshape17" filled="false" stroked="true" strokeweight=".75pt" strokecolor="#0f2973">
                  <v:stroke dashstyle="solid"/>
                </v:rect>
                <v:rect style="position:absolute;left:8145;top:10380;width:1125;height:165" id="docshape18" filled="true" fillcolor="#0f2973" stroked="false">
                  <v:fill type="solid"/>
                </v:rect>
                <v:rect style="position:absolute;left:8137;top:11212;width:2835;height:165" id="docshape19" filled="false" stroked="true" strokeweight=".75pt" strokecolor="#0f2973">
                  <v:stroke dashstyle="solid"/>
                </v:rect>
                <v:shape style="position:absolute;left:1364;top:6975;width:7905;height:4410" id="docshape20" coordorigin="1365,6975" coordsize="7905,4410" path="m1425,10946l1424,10942,1421,10935,1419,10932,1413,10926,1410,10924,1403,10921,1399,10920,1391,10920,1387,10921,1380,10924,1377,10926,1371,10932,1369,10935,1366,10942,1365,10946,1365,10965,1365,10969,1366,10973,1369,10980,1371,10983,1377,10989,1380,10991,1387,10994,1391,10995,1399,10995,1403,10994,1410,10991,1413,10989,1419,10983,1421,10980,1424,10973,1425,10969,1425,10946xm1425,10256l1424,10252,1421,10245,1419,10242,1413,10236,1410,10234,1403,10231,1399,10230,1391,10230,1387,10231,1380,10234,1377,10236,1371,10242,1369,10245,1366,10252,1365,10256,1365,10275,1365,10279,1366,10283,1369,10290,1371,10293,1377,10299,1380,10301,1387,10304,1391,10305,1399,10305,1403,10304,1410,10301,1413,10299,1419,10293,1421,10290,1424,10283,1425,10279,1425,10256xm1425,8381l1424,8377,1421,8370,1419,8367,1413,8361,1410,8359,1403,8356,1399,8355,1391,8355,1387,8356,1380,8359,1377,8361,1371,8367,1369,8370,1366,8377,1365,8381,1365,8400,1365,8404,1366,8408,1369,8415,1371,8418,1377,8424,1380,8426,1387,8429,1391,8430,1399,8430,1403,8429,1410,8426,1413,8424,1419,8418,1421,8415,1424,8408,1425,8404,1425,8381xm1425,7691l1424,7687,1421,7680,1419,7677,1413,7671,1410,7669,1403,7666,1399,7665,1391,7665,1387,7666,1380,7669,1377,7671,1371,7677,1369,7680,1366,7687,1365,7691,1365,7710,1365,7714,1366,7718,1369,7725,1371,7728,1377,7734,1380,7736,1387,7739,1391,7740,1399,7740,1403,7739,1410,7736,1413,7734,1419,7728,1421,7725,1424,7718,1425,7714,1425,7691xm1425,7001l1424,6997,1421,6990,1419,6987,1413,6981,1410,6979,1403,6976,1399,6975,1391,6975,1387,6976,1380,6979,1377,6981,1371,6987,1369,6990,1366,6997,1365,7001,1365,7020,1365,7024,1366,7028,1369,7035,1371,7038,1377,7044,1380,7046,1387,7049,1391,7050,1399,7050,1403,7049,1410,7046,1413,7044,1419,7038,1421,7035,1424,7028,1425,7024,1425,7001xm9270,11220l8145,11220,8145,11385,9270,11385,9270,1122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F2973"/>
          <w:spacing w:val="-2"/>
        </w:rPr>
        <w:t>Education</w:t>
      </w:r>
    </w:p>
    <w:p>
      <w:pPr>
        <w:tabs>
          <w:tab w:pos="5162" w:val="left" w:leader="none"/>
        </w:tabs>
        <w:spacing w:line="321" w:lineRule="auto" w:before="216"/>
        <w:ind w:left="63" w:right="3484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 of Arts in English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May</w:t>
      </w:r>
      <w:r>
        <w:rPr>
          <w:spacing w:val="-11"/>
          <w:w w:val="110"/>
          <w:sz w:val="22"/>
        </w:rPr>
        <w:t> </w:t>
      </w:r>
      <w:r>
        <w:rPr>
          <w:w w:val="110"/>
          <w:sz w:val="22"/>
        </w:rPr>
        <w:t>2015 University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Washington</w:t>
      </w:r>
    </w:p>
    <w:sectPr>
      <w:type w:val="continuous"/>
      <w:pgSz w:w="11920" w:h="16860"/>
      <w:pgMar w:top="74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5"/>
      <w:ind w:left="1254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3"/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" TargetMode="External"/><Relationship Id="rId7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2025-12-29T16:03:47Z</dcterms:created>
  <dcterms:modified xsi:type="dcterms:W3CDTF">2025-12-29T16:03:47Z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