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52" w:lineRule="auto"/>
      </w:pPr>
      <w:r>
        <w:rPr>
          <w:color w:val="25A6FF"/>
          <w:spacing w:val="-4"/>
          <w:w w:val="125"/>
        </w:rPr>
        <w:t>SAM </w:t>
      </w:r>
      <w:r>
        <w:rPr>
          <w:color w:val="25A6FF"/>
          <w:spacing w:val="-2"/>
          <w:w w:val="125"/>
        </w:rPr>
        <w:t>WRIGHT</w:t>
      </w:r>
    </w:p>
    <w:p>
      <w:pPr>
        <w:pStyle w:val="Heading2"/>
        <w:spacing w:before="102"/>
      </w:pPr>
      <w:r>
        <w:rPr>
          <w:color w:val="232323"/>
          <w:w w:val="130"/>
        </w:rPr>
        <w:t>Elder</w:t>
      </w:r>
      <w:r>
        <w:rPr>
          <w:color w:val="232323"/>
          <w:spacing w:val="-5"/>
          <w:w w:val="130"/>
        </w:rPr>
        <w:t> </w:t>
      </w:r>
      <w:r>
        <w:rPr>
          <w:color w:val="232323"/>
          <w:w w:val="130"/>
        </w:rPr>
        <w:t>Law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25"/>
        </w:rPr>
        <w:t>Attorney</w:t>
      </w:r>
    </w:p>
    <w:p>
      <w:pPr>
        <w:pStyle w:val="BodyText"/>
        <w:spacing w:before="7"/>
        <w:rPr>
          <w:rFonts w:ascii="Calibri"/>
          <w:b/>
          <w:sz w:val="33"/>
        </w:rPr>
      </w:pPr>
    </w:p>
    <w:p>
      <w:pPr>
        <w:pStyle w:val="BodyText"/>
        <w:spacing w:line="280" w:lineRule="auto"/>
        <w:ind w:left="51" w:right="309"/>
      </w:pPr>
      <w:r>
        <w:rPr>
          <w:color w:val="232323"/>
          <w:w w:val="105"/>
        </w:rPr>
        <w:t>City, ST </w:t>
      </w:r>
      <w:hyperlink r:id="rId5">
        <w:r>
          <w:rPr>
            <w:color w:val="232323"/>
            <w:spacing w:val="-2"/>
          </w:rPr>
          <w:t>sam.wright@email.com</w:t>
        </w:r>
      </w:hyperlink>
    </w:p>
    <w:p>
      <w:pPr>
        <w:pStyle w:val="BodyText"/>
        <w:spacing w:after="24"/>
        <w:rPr>
          <w:sz w:val="5"/>
        </w:rPr>
      </w:pPr>
      <w:r>
        <w:rPr/>
        <w:br w:type="column"/>
      </w:r>
      <w:r>
        <w:rPr>
          <w:sz w:val="5"/>
        </w:rPr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25a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3"/>
        <w:spacing w:line="280" w:lineRule="auto"/>
      </w:pPr>
      <w:r>
        <w:rPr>
          <w:color w:val="232323"/>
          <w:w w:val="105"/>
        </w:rPr>
        <w:t>Elder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law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attorney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focused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on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estate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planning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long-term care</w:t>
      </w:r>
      <w:r>
        <w:rPr>
          <w:color w:val="232323"/>
          <w:spacing w:val="-4"/>
          <w:w w:val="105"/>
        </w:rPr>
        <w:t> </w:t>
      </w:r>
      <w:r>
        <w:rPr>
          <w:color w:val="232323"/>
          <w:w w:val="105"/>
        </w:rPr>
        <w:t>law</w:t>
      </w:r>
    </w:p>
    <w:p>
      <w:pPr>
        <w:pStyle w:val="BodyText"/>
        <w:spacing w:line="280" w:lineRule="auto" w:before="107"/>
        <w:ind w:left="51" w:right="3"/>
      </w:pPr>
      <w:r>
        <w:rPr>
          <w:color w:val="232323"/>
          <w:w w:val="105"/>
        </w:rPr>
        <w:t>Elder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law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lawyer</w:t>
      </w:r>
      <w:r>
        <w:rPr>
          <w:color w:val="232323"/>
          <w:spacing w:val="-24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9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years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of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experience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helping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aging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clients and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their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families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wills,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trusts,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Medicaid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planning,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and guardianship issues. Compassionate communicator and legal </w:t>
      </w:r>
      <w:r>
        <w:rPr>
          <w:color w:val="232323"/>
          <w:spacing w:val="-2"/>
          <w:w w:val="105"/>
        </w:rPr>
        <w:t>advocate.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40" w:bottom="280" w:left="283" w:right="283"/>
          <w:cols w:num="2" w:equalWidth="0">
            <w:col w:w="3413" w:space="958"/>
            <w:col w:w="698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9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25a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470110</wp:posOffset>
                </wp:positionV>
                <wp:extent cx="1447800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7.016598pt;width:114pt;height:6pt;mso-position-horizontal-relative:page;mso-position-vertical-relative:paragraph;z-index:15730688" id="docshapegroup5" coordorigin="330,740" coordsize="2280,120">
                <v:rect style="position:absolute;left:337;top:747;width:2265;height:105" id="docshape6" filled="false" stroked="true" strokeweight=".75pt" strokecolor="#25a6ff">
                  <v:stroke dashstyle="solid"/>
                </v:rect>
                <v:rect style="position:absolute;left:345;top:755;width:2250;height:90" id="docshape7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5A6FF"/>
          <w:w w:val="130"/>
        </w:rPr>
        <w:t>Key</w:t>
      </w:r>
      <w:r>
        <w:rPr>
          <w:color w:val="25A6FF"/>
          <w:spacing w:val="-10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131"/>
        <w:rPr>
          <w:rFonts w:ascii="Calibri"/>
          <w:b/>
        </w:rPr>
      </w:pPr>
    </w:p>
    <w:p>
      <w:pPr>
        <w:pStyle w:val="BodyText"/>
        <w:spacing w:line="295" w:lineRule="auto"/>
        <w:ind w:left="51" w:right="6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245886</wp:posOffset>
                </wp:positionV>
                <wp:extent cx="1447800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61128pt;width:114pt;height:6pt;mso-position-horizontal-relative:page;mso-position-vertical-relative:paragraph;z-index:15731200" id="docshapegroup8" coordorigin="330,387" coordsize="2280,120">
                <v:rect style="position:absolute;left:337;top:394;width:2265;height:105" id="docshape9" filled="false" stroked="true" strokeweight=".75pt" strokecolor="#25a6ff">
                  <v:stroke dashstyle="solid"/>
                </v:rect>
                <v:rect style="position:absolute;left:345;top:402;width:1800;height:90" id="docshape10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445911</wp:posOffset>
                </wp:positionV>
                <wp:extent cx="144780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11126pt;width:114pt;height:6pt;mso-position-horizontal-relative:page;mso-position-vertical-relative:paragraph;z-index:15731712" id="docshapegroup11" coordorigin="330,702" coordsize="2280,120">
                <v:rect style="position:absolute;left:337;top:709;width:2265;height:105" id="docshape12" filled="false" stroked="true" strokeweight=".75pt" strokecolor="#25a6ff">
                  <v:stroke dashstyle="solid"/>
                </v:rect>
                <v:rect style="position:absolute;left:345;top:717;width:1350;height:90" id="docshape13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645936</wp:posOffset>
                </wp:positionV>
                <wp:extent cx="144780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861126pt;width:114pt;height:6pt;mso-position-horizontal-relative:page;mso-position-vertical-relative:paragraph;z-index:15732224" id="docshapegroup14" coordorigin="330,1017" coordsize="2280,120">
                <v:rect style="position:absolute;left:337;top:1024;width:2265;height:105" id="docshape15" filled="false" stroked="true" strokeweight=".75pt" strokecolor="#25a6ff">
                  <v:stroke dashstyle="solid"/>
                </v:rect>
                <v:rect style="position:absolute;left:345;top:1032;width:1350;height:90" id="docshape16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Estate planning Medicaid</w:t>
      </w:r>
      <w:r>
        <w:rPr>
          <w:spacing w:val="-2"/>
          <w:w w:val="105"/>
        </w:rPr>
        <w:t> </w:t>
      </w:r>
      <w:r>
        <w:rPr>
          <w:w w:val="105"/>
        </w:rPr>
        <w:t>planning Trusts and wills </w:t>
      </w:r>
      <w:r>
        <w:rPr>
          <w:spacing w:val="-2"/>
          <w:w w:val="105"/>
        </w:rPr>
        <w:t>Guardianship</w:t>
      </w:r>
    </w:p>
    <w:p>
      <w:pPr>
        <w:pStyle w:val="BodyText"/>
        <w:spacing w:before="4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47886</wp:posOffset>
                </wp:positionV>
                <wp:extent cx="144780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70617pt;width:114pt;height:6pt;mso-position-horizontal-relative:page;mso-position-vertical-relative:paragraph;z-index:15732736" id="docshapegroup17" coordorigin="330,75" coordsize="2280,120">
                <v:rect style="position:absolute;left:337;top:82;width:2265;height:105" id="docshape18" filled="false" stroked="true" strokeweight=".75pt" strokecolor="#25a6ff">
                  <v:stroke dashstyle="solid"/>
                </v:rect>
                <v:rect style="position:absolute;left:345;top:90;width:900;height:105" id="docshape19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Elder</w:t>
      </w:r>
      <w:r>
        <w:rPr>
          <w:spacing w:val="26"/>
        </w:rPr>
        <w:t> </w:t>
      </w:r>
      <w:r>
        <w:rPr/>
        <w:t>abuse</w:t>
      </w:r>
      <w:r>
        <w:rPr>
          <w:spacing w:val="35"/>
        </w:rPr>
        <w:t> </w:t>
      </w:r>
      <w:r>
        <w:rPr>
          <w:spacing w:val="-2"/>
        </w:rPr>
        <w:t>advocacy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1710" w:space="894"/>
            <w:col w:w="8750"/>
          </w:cols>
        </w:sectPr>
      </w:pPr>
    </w:p>
    <w:p>
      <w:pPr>
        <w:pStyle w:val="BodyText"/>
        <w:spacing w:before="78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0" coordorigin="0,0" coordsize="11265,90">
                <v:rect style="position:absolute;left:0;top:0;width:11265;height:90" id="docshape21" filled="true" fillcolor="#25a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2"/>
        <w:spacing w:before="105"/>
      </w:pPr>
      <w:r>
        <w:rPr>
          <w:color w:val="25A6FF"/>
          <w:w w:val="125"/>
        </w:rPr>
        <w:t>Professional</w:t>
      </w:r>
      <w:r>
        <w:rPr>
          <w:color w:val="25A6FF"/>
          <w:spacing w:val="31"/>
          <w:w w:val="130"/>
        </w:rPr>
        <w:t> </w:t>
      </w:r>
      <w:r>
        <w:rPr>
          <w:color w:val="25A6FF"/>
          <w:spacing w:val="-2"/>
          <w:w w:val="130"/>
        </w:rPr>
        <w:t>Experience</w:t>
      </w:r>
    </w:p>
    <w:p>
      <w:pPr>
        <w:tabs>
          <w:tab w:pos="2655" w:val="left" w:leader="none"/>
          <w:tab w:pos="5751" w:val="left" w:leader="none"/>
        </w:tabs>
        <w:spacing w:before="212"/>
        <w:ind w:left="51" w:right="0" w:firstLine="0"/>
        <w:jc w:val="left"/>
        <w:rPr>
          <w:i/>
          <w:sz w:val="22"/>
        </w:rPr>
      </w:pPr>
      <w:r>
        <w:rPr>
          <w:sz w:val="22"/>
        </w:rPr>
        <w:t>April</w:t>
      </w:r>
      <w:r>
        <w:rPr>
          <w:spacing w:val="-12"/>
          <w:sz w:val="22"/>
        </w:rPr>
        <w:t> </w:t>
      </w:r>
      <w:r>
        <w:rPr>
          <w:sz w:val="22"/>
        </w:rPr>
        <w:t>2017</w:t>
      </w:r>
      <w:r>
        <w:rPr>
          <w:spacing w:val="-4"/>
          <w:sz w:val="22"/>
        </w:rPr>
        <w:t>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Calibri"/>
          <w:b/>
          <w:w w:val="115"/>
          <w:sz w:val="22"/>
        </w:rPr>
        <w:t>Lead</w:t>
      </w:r>
      <w:r>
        <w:rPr>
          <w:rFonts w:ascii="Calibri"/>
          <w:b/>
          <w:spacing w:val="67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Elder</w:t>
      </w:r>
      <w:r>
        <w:rPr>
          <w:rFonts w:ascii="Calibri"/>
          <w:b/>
          <w:spacing w:val="67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Law</w:t>
      </w:r>
      <w:r>
        <w:rPr>
          <w:rFonts w:ascii="Calibri"/>
          <w:b/>
          <w:spacing w:val="67"/>
          <w:w w:val="115"/>
          <w:sz w:val="22"/>
        </w:rPr>
        <w:t> </w:t>
      </w:r>
      <w:r>
        <w:rPr>
          <w:rFonts w:ascii="Calibri"/>
          <w:b/>
          <w:spacing w:val="-2"/>
          <w:w w:val="110"/>
          <w:sz w:val="22"/>
        </w:rPr>
        <w:t>Attorney</w:t>
      </w:r>
      <w:r>
        <w:rPr>
          <w:rFonts w:ascii="Calibri"/>
          <w:b/>
          <w:sz w:val="22"/>
        </w:rPr>
        <w:tab/>
      </w:r>
      <w:r>
        <w:rPr>
          <w:i/>
          <w:sz w:val="22"/>
        </w:rPr>
        <w:t>Summit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Legal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40" w:after="0"/>
        <w:ind w:left="3027" w:right="0" w:hanging="356"/>
        <w:jc w:val="left"/>
        <w:rPr>
          <w:sz w:val="22"/>
        </w:rPr>
      </w:pPr>
      <w:r>
        <w:rPr>
          <w:sz w:val="22"/>
        </w:rPr>
        <w:t>Created</w:t>
      </w:r>
      <w:r>
        <w:rPr>
          <w:spacing w:val="9"/>
          <w:sz w:val="22"/>
        </w:rPr>
        <w:t> </w:t>
      </w:r>
      <w:r>
        <w:rPr>
          <w:sz w:val="22"/>
        </w:rPr>
        <w:t>250+</w:t>
      </w:r>
      <w:r>
        <w:rPr>
          <w:spacing w:val="10"/>
          <w:sz w:val="22"/>
        </w:rPr>
        <w:t> </w:t>
      </w:r>
      <w:r>
        <w:rPr>
          <w:sz w:val="22"/>
        </w:rPr>
        <w:t>estate</w:t>
      </w:r>
      <w:r>
        <w:rPr>
          <w:spacing w:val="9"/>
          <w:sz w:val="22"/>
        </w:rPr>
        <w:t> </w:t>
      </w:r>
      <w:r>
        <w:rPr>
          <w:sz w:val="22"/>
        </w:rPr>
        <w:t>plans</w:t>
      </w:r>
      <w:r>
        <w:rPr>
          <w:spacing w:val="10"/>
          <w:sz w:val="22"/>
        </w:rPr>
        <w:t> </w:t>
      </w:r>
      <w:r>
        <w:rPr>
          <w:sz w:val="22"/>
        </w:rPr>
        <w:t>and</w:t>
      </w:r>
      <w:r>
        <w:rPr>
          <w:spacing w:val="9"/>
          <w:sz w:val="22"/>
        </w:rPr>
        <w:t> </w:t>
      </w:r>
      <w:r>
        <w:rPr>
          <w:sz w:val="22"/>
        </w:rPr>
        <w:t>long-term</w:t>
      </w:r>
      <w:r>
        <w:rPr>
          <w:spacing w:val="10"/>
          <w:sz w:val="22"/>
        </w:rPr>
        <w:t> </w:t>
      </w:r>
      <w:r>
        <w:rPr>
          <w:sz w:val="22"/>
        </w:rPr>
        <w:t>care</w:t>
      </w:r>
      <w:r>
        <w:rPr>
          <w:spacing w:val="9"/>
          <w:sz w:val="22"/>
        </w:rPr>
        <w:t> </w:t>
      </w:r>
      <w:r>
        <w:rPr>
          <w:sz w:val="22"/>
        </w:rPr>
        <w:t>strategies</w:t>
      </w:r>
      <w:r>
        <w:rPr>
          <w:spacing w:val="10"/>
          <w:sz w:val="22"/>
        </w:rPr>
        <w:t> </w:t>
      </w:r>
      <w:r>
        <w:rPr>
          <w:sz w:val="22"/>
        </w:rPr>
        <w:t>tailored</w:t>
      </w:r>
      <w:r>
        <w:rPr>
          <w:spacing w:val="9"/>
          <w:sz w:val="22"/>
        </w:rPr>
        <w:t> </w:t>
      </w:r>
      <w:r>
        <w:rPr>
          <w:sz w:val="22"/>
        </w:rPr>
        <w:t>to</w:t>
      </w:r>
      <w:r>
        <w:rPr>
          <w:spacing w:val="10"/>
          <w:sz w:val="22"/>
        </w:rPr>
        <w:t> </w:t>
      </w:r>
      <w:r>
        <w:rPr>
          <w:sz w:val="22"/>
        </w:rPr>
        <w:t>client</w:t>
      </w:r>
      <w:r>
        <w:rPr>
          <w:spacing w:val="9"/>
          <w:sz w:val="22"/>
        </w:rPr>
        <w:t> </w:t>
      </w:r>
      <w:r>
        <w:rPr>
          <w:spacing w:val="-2"/>
          <w:sz w:val="22"/>
        </w:rPr>
        <w:t>needs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34" w:after="0"/>
        <w:ind w:left="3027" w:right="0" w:hanging="356"/>
        <w:jc w:val="left"/>
        <w:rPr>
          <w:sz w:val="22"/>
        </w:rPr>
      </w:pPr>
      <w:r>
        <w:rPr>
          <w:w w:val="105"/>
          <w:sz w:val="22"/>
        </w:rPr>
        <w:t>Handled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guardianship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petitions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conservatorship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proceedings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35" w:after="0"/>
        <w:ind w:left="3027" w:right="0" w:hanging="356"/>
        <w:jc w:val="left"/>
        <w:rPr>
          <w:sz w:val="22"/>
        </w:rPr>
      </w:pPr>
      <w:r>
        <w:rPr>
          <w:w w:val="105"/>
          <w:sz w:val="22"/>
        </w:rPr>
        <w:t>Counseled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families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on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Medicaid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eligibility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asset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protection</w:t>
      </w: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10"/>
        <w:ind w:left="51"/>
      </w:pPr>
      <w:r>
        <w:rPr/>
        <w:t>September</w:t>
      </w:r>
      <w:r>
        <w:rPr>
          <w:spacing w:val="25"/>
        </w:rPr>
        <w:t> </w:t>
      </w:r>
      <w:r>
        <w:rPr/>
        <w:t>2014</w:t>
      </w:r>
      <w:r>
        <w:rPr>
          <w:spacing w:val="34"/>
        </w:rPr>
        <w:t> </w:t>
      </w:r>
      <w:r>
        <w:rPr>
          <w:spacing w:val="-10"/>
        </w:rPr>
        <w:t>-</w:t>
      </w:r>
    </w:p>
    <w:p>
      <w:pPr>
        <w:pStyle w:val="BodyText"/>
        <w:spacing w:before="45"/>
        <w:ind w:left="51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tabs>
          <w:tab w:pos="4905" w:val="left" w:leader="none"/>
        </w:tabs>
        <w:spacing w:before="107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 w:hAnsi="Calibri"/>
          <w:b/>
          <w:w w:val="115"/>
          <w:sz w:val="22"/>
        </w:rPr>
        <w:t>Associate</w:t>
      </w:r>
      <w:r>
        <w:rPr>
          <w:rFonts w:ascii="Calibri" w:hAnsi="Calibri"/>
          <w:b/>
          <w:spacing w:val="56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Attorney</w:t>
      </w:r>
      <w:r>
        <w:rPr>
          <w:rFonts w:ascii="Calibri" w:hAnsi="Calibri"/>
          <w:b/>
          <w:spacing w:val="57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–</w:t>
      </w:r>
      <w:r>
        <w:rPr>
          <w:rFonts w:ascii="Calibri" w:hAnsi="Calibri"/>
          <w:b/>
          <w:spacing w:val="57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Estate</w:t>
      </w:r>
      <w:r>
        <w:rPr>
          <w:rFonts w:ascii="Calibri" w:hAnsi="Calibri"/>
          <w:b/>
          <w:spacing w:val="56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&amp;</w:t>
      </w:r>
      <w:r>
        <w:rPr>
          <w:rFonts w:ascii="Calibri" w:hAnsi="Calibri"/>
          <w:b/>
          <w:spacing w:val="57"/>
          <w:w w:val="115"/>
          <w:sz w:val="22"/>
        </w:rPr>
        <w:t> </w:t>
      </w:r>
      <w:r>
        <w:rPr>
          <w:rFonts w:ascii="Calibri" w:hAnsi="Calibri"/>
          <w:b/>
          <w:w w:val="115"/>
          <w:sz w:val="22"/>
        </w:rPr>
        <w:t>Elder</w:t>
      </w:r>
      <w:r>
        <w:rPr>
          <w:rFonts w:ascii="Calibri" w:hAnsi="Calibri"/>
          <w:b/>
          <w:spacing w:val="57"/>
          <w:w w:val="115"/>
          <w:sz w:val="22"/>
        </w:rPr>
        <w:t> </w:t>
      </w:r>
      <w:r>
        <w:rPr>
          <w:rFonts w:ascii="Calibri" w:hAnsi="Calibri"/>
          <w:b/>
          <w:spacing w:val="-5"/>
          <w:w w:val="115"/>
          <w:sz w:val="22"/>
        </w:rPr>
        <w:t>Law</w:t>
      </w:r>
      <w:r>
        <w:rPr>
          <w:rFonts w:ascii="Calibri" w:hAnsi="Calibri"/>
          <w:b/>
          <w:sz w:val="22"/>
        </w:rPr>
        <w:tab/>
      </w:r>
      <w:r>
        <w:rPr>
          <w:i/>
          <w:sz w:val="22"/>
        </w:rPr>
        <w:t>Harbor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20"/>
          <w:sz w:val="22"/>
        </w:rPr>
        <w:t> </w:t>
      </w:r>
      <w:r>
        <w:rPr>
          <w:i/>
          <w:sz w:val="22"/>
        </w:rPr>
        <w:t>Wells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LLP,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40" w:after="0"/>
        <w:ind w:left="423" w:right="0" w:hanging="355"/>
        <w:jc w:val="left"/>
        <w:rPr>
          <w:sz w:val="22"/>
        </w:rPr>
      </w:pPr>
      <w:r>
        <w:rPr>
          <w:sz w:val="22"/>
        </w:rPr>
        <w:t>Drafted</w:t>
      </w:r>
      <w:r>
        <w:rPr>
          <w:spacing w:val="-2"/>
          <w:sz w:val="22"/>
        </w:rPr>
        <w:t> </w:t>
      </w:r>
      <w:r>
        <w:rPr>
          <w:sz w:val="22"/>
        </w:rPr>
        <w:t>wills,</w:t>
      </w:r>
      <w:r>
        <w:rPr>
          <w:spacing w:val="6"/>
          <w:sz w:val="22"/>
        </w:rPr>
        <w:t> </w:t>
      </w:r>
      <w:r>
        <w:rPr>
          <w:sz w:val="22"/>
        </w:rPr>
        <w:t>living</w:t>
      </w:r>
      <w:r>
        <w:rPr>
          <w:spacing w:val="6"/>
          <w:sz w:val="22"/>
        </w:rPr>
        <w:t> </w:t>
      </w:r>
      <w:r>
        <w:rPr>
          <w:sz w:val="22"/>
        </w:rPr>
        <w:t>trusts,</w:t>
      </w:r>
      <w:r>
        <w:rPr>
          <w:spacing w:val="6"/>
          <w:sz w:val="22"/>
        </w:rPr>
        <w:t> </w:t>
      </w:r>
      <w:r>
        <w:rPr>
          <w:sz w:val="22"/>
        </w:rPr>
        <w:t>and</w:t>
      </w:r>
      <w:r>
        <w:rPr>
          <w:spacing w:val="5"/>
          <w:sz w:val="22"/>
        </w:rPr>
        <w:t> </w:t>
      </w:r>
      <w:r>
        <w:rPr>
          <w:sz w:val="22"/>
        </w:rPr>
        <w:t>advance</w:t>
      </w:r>
      <w:r>
        <w:rPr>
          <w:spacing w:val="6"/>
          <w:sz w:val="22"/>
        </w:rPr>
        <w:t> </w:t>
      </w:r>
      <w:r>
        <w:rPr>
          <w:sz w:val="22"/>
        </w:rPr>
        <w:t>directives</w:t>
      </w:r>
      <w:r>
        <w:rPr>
          <w:spacing w:val="6"/>
          <w:sz w:val="22"/>
        </w:rPr>
        <w:t> </w:t>
      </w:r>
      <w:r>
        <w:rPr>
          <w:sz w:val="22"/>
        </w:rPr>
        <w:t>for seniors</w:t>
      </w:r>
      <w:r>
        <w:rPr>
          <w:spacing w:val="6"/>
          <w:sz w:val="22"/>
        </w:rPr>
        <w:t> </w:t>
      </w:r>
      <w:r>
        <w:rPr>
          <w:sz w:val="22"/>
        </w:rPr>
        <w:t>and</w:t>
      </w:r>
      <w:r>
        <w:rPr>
          <w:spacing w:val="6"/>
          <w:sz w:val="22"/>
        </w:rPr>
        <w:t> </w:t>
      </w:r>
      <w:r>
        <w:rPr>
          <w:spacing w:val="-2"/>
          <w:sz w:val="22"/>
        </w:rPr>
        <w:t>caregivers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1883" w:space="721"/>
            <w:col w:w="8750"/>
          </w:cols>
        </w:sectPr>
      </w:pPr>
    </w:p>
    <w:p>
      <w:pPr>
        <w:pStyle w:val="BodyText"/>
        <w:spacing w:before="78" w:after="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2" coordorigin="0,0" coordsize="11265,90">
                <v:rect style="position:absolute;left:0;top:0;width:11265;height:90" id="docshape23" filled="true" fillcolor="#25a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2"/>
      </w:pPr>
      <w:r>
        <w:rPr>
          <w:color w:val="25A6FF"/>
          <w:spacing w:val="-2"/>
          <w:w w:val="130"/>
        </w:rPr>
        <w:t>Education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113"/>
        <w:rPr>
          <w:rFonts w:ascii="Calibri"/>
          <w:b/>
        </w:rPr>
      </w:pPr>
    </w:p>
    <w:p>
      <w:pPr>
        <w:tabs>
          <w:tab w:pos="2335" w:val="left" w:leader="none"/>
        </w:tabs>
        <w:spacing w:before="0"/>
        <w:ind w:left="51" w:right="0" w:firstLine="0"/>
        <w:jc w:val="left"/>
        <w:rPr>
          <w:sz w:val="22"/>
        </w:rPr>
      </w:pPr>
      <w:r>
        <w:rPr>
          <w:rFonts w:ascii="Calibri"/>
          <w:b/>
          <w:spacing w:val="4"/>
          <w:w w:val="115"/>
          <w:sz w:val="22"/>
        </w:rPr>
        <w:t>Juris</w:t>
      </w:r>
      <w:r>
        <w:rPr>
          <w:rFonts w:ascii="Calibri"/>
          <w:b/>
          <w:spacing w:val="61"/>
          <w:w w:val="115"/>
          <w:sz w:val="22"/>
        </w:rPr>
        <w:t> </w:t>
      </w:r>
      <w:r>
        <w:rPr>
          <w:rFonts w:ascii="Calibri"/>
          <w:b/>
          <w:spacing w:val="4"/>
          <w:w w:val="115"/>
          <w:sz w:val="22"/>
        </w:rPr>
        <w:t>Doctor</w:t>
      </w:r>
      <w:r>
        <w:rPr>
          <w:rFonts w:ascii="Calibri"/>
          <w:b/>
          <w:spacing w:val="61"/>
          <w:w w:val="115"/>
          <w:sz w:val="22"/>
        </w:rPr>
        <w:t> </w:t>
      </w:r>
      <w:r>
        <w:rPr>
          <w:rFonts w:ascii="Calibri"/>
          <w:b/>
          <w:spacing w:val="-2"/>
          <w:w w:val="105"/>
          <w:sz w:val="22"/>
        </w:rPr>
        <w:t>(J.D.)</w:t>
      </w:r>
      <w:r>
        <w:rPr>
          <w:rFonts w:ascii="Calibri"/>
          <w:b/>
          <w:sz w:val="22"/>
        </w:rPr>
        <w:tab/>
      </w:r>
      <w:r>
        <w:rPr>
          <w:spacing w:val="-2"/>
          <w:w w:val="105"/>
          <w:sz w:val="22"/>
        </w:rPr>
        <w:t>Stetson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University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College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of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Law</w:t>
      </w:r>
      <w:r>
        <w:rPr>
          <w:spacing w:val="-14"/>
          <w:w w:val="105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7"/>
          <w:w w:val="105"/>
          <w:sz w:val="22"/>
        </w:rPr>
        <w:t> </w:t>
      </w:r>
      <w:r>
        <w:rPr>
          <w:spacing w:val="-4"/>
          <w:w w:val="105"/>
          <w:sz w:val="22"/>
        </w:rPr>
        <w:t>2014</w:t>
      </w:r>
    </w:p>
    <w:p>
      <w:pPr>
        <w:pStyle w:val="BodyText"/>
        <w:spacing w:before="151"/>
      </w:pPr>
    </w:p>
    <w:p>
      <w:pPr>
        <w:tabs>
          <w:tab w:pos="3074" w:val="left" w:leader="none"/>
        </w:tabs>
        <w:spacing w:before="0"/>
        <w:ind w:left="51" w:right="0" w:firstLine="0"/>
        <w:jc w:val="left"/>
        <w:rPr>
          <w:sz w:val="22"/>
        </w:rPr>
      </w:pPr>
      <w:r>
        <w:rPr>
          <w:rFonts w:ascii="Calibri"/>
          <w:b/>
          <w:spacing w:val="2"/>
          <w:w w:val="115"/>
          <w:sz w:val="22"/>
        </w:rPr>
        <w:t>Bachelor</w:t>
      </w:r>
      <w:r>
        <w:rPr>
          <w:rFonts w:ascii="Calibri"/>
          <w:b/>
          <w:spacing w:val="65"/>
          <w:w w:val="115"/>
          <w:sz w:val="22"/>
        </w:rPr>
        <w:t> </w:t>
      </w:r>
      <w:r>
        <w:rPr>
          <w:rFonts w:ascii="Calibri"/>
          <w:b/>
          <w:spacing w:val="2"/>
          <w:w w:val="110"/>
          <w:sz w:val="22"/>
        </w:rPr>
        <w:t>of</w:t>
      </w:r>
      <w:r>
        <w:rPr>
          <w:rFonts w:ascii="Calibri"/>
          <w:b/>
          <w:spacing w:val="65"/>
          <w:w w:val="115"/>
          <w:sz w:val="22"/>
        </w:rPr>
        <w:t> </w:t>
      </w:r>
      <w:r>
        <w:rPr>
          <w:rFonts w:ascii="Calibri"/>
          <w:b/>
          <w:spacing w:val="2"/>
          <w:w w:val="115"/>
          <w:sz w:val="22"/>
        </w:rPr>
        <w:t>Social</w:t>
      </w:r>
      <w:r>
        <w:rPr>
          <w:rFonts w:ascii="Calibri"/>
          <w:b/>
          <w:spacing w:val="65"/>
          <w:w w:val="115"/>
          <w:sz w:val="22"/>
        </w:rPr>
        <w:t> </w:t>
      </w:r>
      <w:r>
        <w:rPr>
          <w:rFonts w:ascii="Calibri"/>
          <w:b/>
          <w:spacing w:val="-4"/>
          <w:w w:val="115"/>
          <w:sz w:val="22"/>
        </w:rPr>
        <w:t>Work</w:t>
      </w:r>
      <w:r>
        <w:rPr>
          <w:rFonts w:ascii="Calibri"/>
          <w:b/>
          <w:sz w:val="22"/>
        </w:rPr>
        <w:tab/>
      </w:r>
      <w:r>
        <w:rPr>
          <w:sz w:val="22"/>
        </w:rPr>
        <w:t>University</w:t>
      </w:r>
      <w:r>
        <w:rPr>
          <w:spacing w:val="-14"/>
          <w:sz w:val="22"/>
        </w:rPr>
        <w:t> </w:t>
      </w:r>
      <w:r>
        <w:rPr>
          <w:sz w:val="22"/>
        </w:rPr>
        <w:t>of</w:t>
      </w:r>
      <w:r>
        <w:rPr>
          <w:spacing w:val="-13"/>
          <w:sz w:val="22"/>
        </w:rPr>
        <w:t> </w:t>
      </w:r>
      <w:r>
        <w:rPr>
          <w:sz w:val="22"/>
        </w:rPr>
        <w:t>Central</w:t>
      </w:r>
      <w:r>
        <w:rPr>
          <w:spacing w:val="-14"/>
          <w:sz w:val="22"/>
        </w:rPr>
        <w:t> </w:t>
      </w:r>
      <w:r>
        <w:rPr>
          <w:sz w:val="22"/>
        </w:rPr>
        <w:t>Florida</w:t>
      </w:r>
      <w:r>
        <w:rPr>
          <w:spacing w:val="-7"/>
          <w:sz w:val="22"/>
        </w:rPr>
        <w:t> </w:t>
      </w:r>
      <w:r>
        <w:rPr>
          <w:w w:val="85"/>
          <w:sz w:val="22"/>
        </w:rPr>
        <w:t>|</w:t>
      </w:r>
      <w:r>
        <w:rPr>
          <w:spacing w:val="-8"/>
          <w:sz w:val="22"/>
        </w:rPr>
        <w:t> </w:t>
      </w:r>
      <w:r>
        <w:rPr>
          <w:spacing w:val="-4"/>
          <w:sz w:val="22"/>
        </w:rPr>
        <w:t>2010</w:t>
      </w:r>
    </w:p>
    <w:sectPr>
      <w:type w:val="continuous"/>
      <w:pgSz w:w="11920" w:h="16860"/>
      <w:pgMar w:top="740" w:bottom="280" w:left="283" w:right="283"/>
      <w:cols w:num="2" w:equalWidth="0">
        <w:col w:w="1838" w:space="766"/>
        <w:col w:w="87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53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8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19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52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18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19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51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1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8"/>
      <w:ind w:left="51" w:right="3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0"/>
      <w:ind w:left="3027" w:hanging="35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2025-12-20T22:53:19Z</dcterms:created>
  <dcterms:modified xsi:type="dcterms:W3CDTF">2025-12-20T22:53:19Z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