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86"/>
        <w:ind w:left="3"/>
        <w:jc w:val="center"/>
      </w:pPr>
      <w:r>
        <w:rPr>
          <w:color w:val="E37829"/>
          <w:w w:val="130"/>
        </w:rPr>
        <w:t>Sam</w:t>
      </w:r>
      <w:r>
        <w:rPr>
          <w:color w:val="E37829"/>
          <w:spacing w:val="9"/>
          <w:w w:val="130"/>
        </w:rPr>
        <w:t> </w:t>
      </w:r>
      <w:r>
        <w:rPr>
          <w:color w:val="E37829"/>
          <w:spacing w:val="-2"/>
          <w:w w:val="130"/>
        </w:rPr>
        <w:t>Wright</w:t>
      </w:r>
    </w:p>
    <w:p>
      <w:pPr>
        <w:pStyle w:val="BodyText"/>
        <w:spacing w:before="58"/>
        <w:ind w:left="3"/>
        <w:jc w:val="center"/>
        <w:rPr>
          <w:rFonts w:ascii="Calibri"/>
        </w:rPr>
      </w:pPr>
      <w:r>
        <w:rPr>
          <w:rFonts w:ascii="Calibri"/>
          <w:w w:val="125"/>
        </w:rPr>
        <w:t>Entertainment</w:t>
      </w:r>
      <w:r>
        <w:rPr>
          <w:rFonts w:ascii="Calibri"/>
          <w:spacing w:val="37"/>
          <w:w w:val="130"/>
        </w:rPr>
        <w:t> </w:t>
      </w:r>
      <w:r>
        <w:rPr>
          <w:rFonts w:ascii="Calibri"/>
          <w:spacing w:val="-2"/>
          <w:w w:val="130"/>
        </w:rPr>
        <w:t>Lawyer</w:t>
      </w:r>
    </w:p>
    <w:p>
      <w:pPr>
        <w:tabs>
          <w:tab w:pos="6947" w:val="left" w:leader="none"/>
        </w:tabs>
        <w:spacing w:before="259"/>
        <w:ind w:left="63" w:right="0" w:firstLine="0"/>
        <w:jc w:val="left"/>
        <w:rPr>
          <w:sz w:val="22"/>
        </w:rPr>
      </w:pPr>
      <w:r>
        <w:rPr>
          <w:spacing w:val="-11"/>
          <w:sz w:val="22"/>
        </w:rPr>
        <w:t>City,</w:t>
      </w:r>
      <w:r>
        <w:rPr>
          <w:spacing w:val="-1"/>
          <w:sz w:val="22"/>
        </w:rPr>
        <w:t> </w:t>
      </w:r>
      <w:r>
        <w:rPr>
          <w:spacing w:val="-5"/>
          <w:sz w:val="22"/>
        </w:rPr>
        <w:t>ST</w:t>
      </w:r>
      <w:r>
        <w:rPr>
          <w:sz w:val="22"/>
        </w:rPr>
        <w:tab/>
      </w:r>
      <w:hyperlink r:id="rId5">
        <w:r>
          <w:rPr>
            <w:spacing w:val="-2"/>
            <w:sz w:val="22"/>
          </w:rPr>
          <w:t>sam.wright@email.com</w:t>
        </w:r>
      </w:hyperlink>
    </w:p>
    <w:p>
      <w:pPr>
        <w:spacing w:line="240" w:lineRule="auto" w:before="179"/>
        <w:rPr>
          <w:sz w:val="22"/>
        </w:rPr>
      </w:pPr>
    </w:p>
    <w:p>
      <w:pPr>
        <w:pStyle w:val="BodyText"/>
        <w:spacing w:line="280" w:lineRule="auto"/>
        <w:ind w:left="63" w:right="856"/>
      </w:pPr>
      <w:r>
        <w:rPr/>
        <w:t>Entertainment attorney negotiating contracts for artists, studios, and streaming </w:t>
      </w:r>
      <w:r>
        <w:rPr>
          <w:spacing w:val="-2"/>
        </w:rPr>
        <w:t>platforms</w:t>
      </w:r>
    </w:p>
    <w:p>
      <w:pPr>
        <w:pStyle w:val="BodyText"/>
        <w:spacing w:line="280" w:lineRule="auto" w:before="107"/>
        <w:ind w:left="63" w:right="39"/>
      </w:pPr>
      <w:r>
        <w:rPr/>
        <w:t>Entertainment</w:t>
      </w:r>
      <w:r>
        <w:rPr>
          <w:spacing w:val="32"/>
        </w:rPr>
        <w:t> </w:t>
      </w:r>
      <w:r>
        <w:rPr/>
        <w:t>lawyer with</w:t>
      </w:r>
      <w:r>
        <w:rPr>
          <w:spacing w:val="32"/>
        </w:rPr>
        <w:t> </w:t>
      </w:r>
      <w:r>
        <w:rPr/>
        <w:t>8 years</w:t>
      </w:r>
      <w:r>
        <w:rPr>
          <w:spacing w:val="32"/>
        </w:rPr>
        <w:t> </w:t>
      </w:r>
      <w:r>
        <w:rPr/>
        <w:t>of experience</w:t>
      </w:r>
      <w:r>
        <w:rPr>
          <w:spacing w:val="32"/>
        </w:rPr>
        <w:t> </w:t>
      </w:r>
      <w:r>
        <w:rPr/>
        <w:t>advising</w:t>
      </w:r>
      <w:r>
        <w:rPr>
          <w:spacing w:val="32"/>
        </w:rPr>
        <w:t> </w:t>
      </w:r>
      <w:r>
        <w:rPr/>
        <w:t>talent,</w:t>
      </w:r>
      <w:r>
        <w:rPr>
          <w:spacing w:val="32"/>
        </w:rPr>
        <w:t> </w:t>
      </w:r>
      <w:r>
        <w:rPr/>
        <w:t>production companies, and digital media firms on intellectual property and contract law. Skilled in deal negotiation and copyright enforcement.</w:t>
      </w:r>
    </w:p>
    <w:p>
      <w:pPr>
        <w:spacing w:line="240" w:lineRule="auto" w:before="29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181333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278234pt;width:462.749963pt;height:.75pt;mso-position-horizontal-relative:page;mso-position-vertical-relative:paragraph;z-index:-15728640;mso-wrap-distance-left:0;mso-wrap-distance-right:0" id="docshape1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7829"/>
          <w:w w:val="130"/>
        </w:rPr>
        <w:t>Key</w:t>
      </w:r>
      <w:r>
        <w:rPr>
          <w:color w:val="E37829"/>
          <w:spacing w:val="-5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BodyText"/>
        <w:tabs>
          <w:tab w:pos="435" w:val="left" w:leader="none"/>
        </w:tabs>
        <w:spacing w:before="219"/>
        <w:ind w:left="89"/>
      </w:pPr>
      <w:r>
        <w:rPr>
          <w:b w:val="0"/>
          <w:position w:val="6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z w:val="20"/>
        </w:rPr>
        <w:tab/>
      </w:r>
      <w:r>
        <w:rPr/>
        <w:t>Entertainment</w:t>
      </w:r>
      <w:r>
        <w:rPr>
          <w:spacing w:val="11"/>
        </w:rPr>
        <w:t> </w:t>
      </w:r>
      <w:r>
        <w:rPr>
          <w:spacing w:val="-2"/>
        </w:rPr>
        <w:t>contracts</w:t>
      </w:r>
    </w:p>
    <w:p>
      <w:pPr>
        <w:pStyle w:val="BodyText"/>
        <w:tabs>
          <w:tab w:pos="435" w:val="left" w:leader="none"/>
        </w:tabs>
        <w:spacing w:before="150"/>
        <w:ind w:left="89"/>
      </w:pPr>
      <w:r>
        <w:rPr>
          <w:b w:val="0"/>
          <w:position w:val="6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IP</w:t>
      </w:r>
      <w:r>
        <w:rPr>
          <w:spacing w:val="-22"/>
          <w:w w:val="105"/>
        </w:rPr>
        <w:t> </w:t>
      </w:r>
      <w:r>
        <w:rPr>
          <w:spacing w:val="-2"/>
          <w:w w:val="105"/>
        </w:rPr>
        <w:t>licensing</w:t>
      </w:r>
    </w:p>
    <w:p>
      <w:pPr>
        <w:pStyle w:val="BodyText"/>
        <w:tabs>
          <w:tab w:pos="435" w:val="left" w:leader="none"/>
        </w:tabs>
        <w:spacing w:before="149"/>
        <w:ind w:left="89"/>
      </w:pPr>
      <w:r>
        <w:rPr>
          <w:b w:val="0"/>
          <w:position w:val="6"/>
        </w:rPr>
        <w:drawing>
          <wp:inline distT="0" distB="0" distL="0" distR="0">
            <wp:extent cx="38100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05"/>
        </w:rPr>
        <w:t>Copyright</w:t>
      </w:r>
      <w:r>
        <w:rPr>
          <w:w w:val="105"/>
        </w:rPr>
        <w:t> </w:t>
      </w:r>
      <w:r>
        <w:rPr>
          <w:spacing w:val="-5"/>
          <w:w w:val="105"/>
        </w:rPr>
        <w:t>law</w:t>
      </w:r>
    </w:p>
    <w:p>
      <w:pPr>
        <w:pStyle w:val="BodyText"/>
        <w:tabs>
          <w:tab w:pos="435" w:val="left" w:leader="none"/>
        </w:tabs>
        <w:spacing w:before="165"/>
        <w:ind w:left="89"/>
      </w:pPr>
      <w:r>
        <w:rPr>
          <w:b w:val="0"/>
          <w:position w:val="6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Brand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partnerships</w:t>
      </w:r>
    </w:p>
    <w:p>
      <w:pPr>
        <w:pStyle w:val="BodyText"/>
        <w:tabs>
          <w:tab w:pos="435" w:val="left" w:leader="none"/>
        </w:tabs>
        <w:spacing w:before="149"/>
        <w:ind w:left="89"/>
      </w:pPr>
      <w:r>
        <w:rPr>
          <w:b w:val="0"/>
          <w:position w:val="6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6"/>
        </w:rPr>
      </w:r>
      <w:r>
        <w:rPr>
          <w:rFonts w:ascii="Times New Roman"/>
          <w:b w:val="0"/>
          <w:sz w:val="20"/>
        </w:rPr>
        <w:tab/>
      </w:r>
      <w:r>
        <w:rPr/>
        <w:t>Talent</w:t>
      </w:r>
      <w:r>
        <w:rPr>
          <w:spacing w:val="-10"/>
        </w:rPr>
        <w:t> </w:t>
      </w:r>
      <w:r>
        <w:rPr>
          <w:spacing w:val="-2"/>
        </w:rPr>
        <w:t>representation</w:t>
      </w:r>
    </w:p>
    <w:p>
      <w:pPr>
        <w:spacing w:line="240" w:lineRule="auto" w:before="7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207486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337488pt;width:462.749963pt;height:.75pt;mso-position-horizontal-relative:page;mso-position-vertical-relative:paragraph;z-index:-15728128;mso-wrap-distance-left:0;mso-wrap-distance-right:0" id="docshape2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7829"/>
          <w:spacing w:val="-2"/>
          <w:w w:val="130"/>
        </w:rPr>
        <w:t>Professional</w:t>
      </w:r>
      <w:r>
        <w:rPr>
          <w:color w:val="E37829"/>
          <w:spacing w:val="-1"/>
          <w:w w:val="130"/>
        </w:rPr>
        <w:t> </w:t>
      </w:r>
      <w:r>
        <w:rPr>
          <w:color w:val="E37829"/>
          <w:spacing w:val="-2"/>
          <w:w w:val="130"/>
        </w:rPr>
        <w:t>Experience</w:t>
      </w:r>
    </w:p>
    <w:p>
      <w:pPr>
        <w:pStyle w:val="BodyText"/>
        <w:spacing w:before="231"/>
        <w:ind w:left="63"/>
        <w:rPr>
          <w:rFonts w:ascii="Calibri"/>
        </w:rPr>
      </w:pPr>
      <w:r>
        <w:rPr>
          <w:rFonts w:ascii="Calibri"/>
          <w:w w:val="125"/>
        </w:rPr>
        <w:t>Entertainment</w:t>
      </w:r>
      <w:r>
        <w:rPr>
          <w:rFonts w:ascii="Calibri"/>
          <w:spacing w:val="37"/>
          <w:w w:val="130"/>
        </w:rPr>
        <w:t> </w:t>
      </w:r>
      <w:r>
        <w:rPr>
          <w:rFonts w:ascii="Calibri"/>
          <w:spacing w:val="-2"/>
          <w:w w:val="130"/>
        </w:rPr>
        <w:t>Counsel</w:t>
      </w:r>
    </w:p>
    <w:p>
      <w:pPr>
        <w:tabs>
          <w:tab w:pos="7368" w:val="left" w:leader="none"/>
        </w:tabs>
        <w:spacing w:before="115"/>
        <w:ind w:left="63" w:right="0" w:firstLine="0"/>
        <w:jc w:val="left"/>
        <w:rPr>
          <w:i/>
          <w:sz w:val="22"/>
        </w:rPr>
      </w:pPr>
      <w:r>
        <w:rPr>
          <w:i/>
          <w:position w:val="1"/>
          <w:sz w:val="22"/>
        </w:rPr>
        <w:t>NextPhase Media Group, Los</w:t>
      </w:r>
      <w:r>
        <w:rPr>
          <w:i/>
          <w:spacing w:val="-7"/>
          <w:position w:val="1"/>
          <w:sz w:val="22"/>
        </w:rPr>
        <w:t> </w:t>
      </w:r>
      <w:r>
        <w:rPr>
          <w:i/>
          <w:position w:val="1"/>
          <w:sz w:val="22"/>
        </w:rPr>
        <w:t>Angeles, </w:t>
      </w:r>
      <w:r>
        <w:rPr>
          <w:i/>
          <w:spacing w:val="-5"/>
          <w:position w:val="1"/>
          <w:sz w:val="22"/>
        </w:rPr>
        <w:t>CA</w:t>
      </w:r>
      <w:r>
        <w:rPr>
          <w:i/>
          <w:position w:val="1"/>
          <w:sz w:val="22"/>
        </w:rPr>
        <w:tab/>
      </w:r>
      <w:r>
        <w:rPr>
          <w:i/>
          <w:sz w:val="22"/>
        </w:rPr>
        <w:t>June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35" w:val="left" w:leader="none"/>
        </w:tabs>
        <w:spacing w:line="280" w:lineRule="auto" w:before="164"/>
        <w:ind w:left="435" w:right="820" w:hanging="346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Negotiated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100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licensing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endorsement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deals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on-screen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talent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and content creators</w:t>
      </w:r>
    </w:p>
    <w:p>
      <w:pPr>
        <w:tabs>
          <w:tab w:pos="435" w:val="left" w:leader="none"/>
        </w:tabs>
        <w:spacing w:before="92"/>
        <w:ind w:left="89" w:right="0" w:firstLine="0"/>
        <w:jc w:val="left"/>
        <w:rPr>
          <w:sz w:val="22"/>
        </w:rPr>
      </w:pPr>
      <w:r>
        <w:rPr>
          <w:position w:val="6"/>
        </w:rPr>
        <w:drawing>
          <wp:inline distT="0" distB="0" distL="0" distR="0">
            <wp:extent cx="38100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  <w:sz w:val="22"/>
        </w:rPr>
        <w:t>Structured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content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distribution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agreements for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podcasts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streaming</w:t>
      </w:r>
      <w:r>
        <w:rPr>
          <w:spacing w:val="-9"/>
          <w:w w:val="105"/>
          <w:sz w:val="22"/>
        </w:rPr>
        <w:t> </w:t>
      </w:r>
      <w:r>
        <w:rPr>
          <w:spacing w:val="-4"/>
          <w:w w:val="105"/>
          <w:sz w:val="22"/>
        </w:rPr>
        <w:t>video</w:t>
      </w:r>
    </w:p>
    <w:p>
      <w:pPr>
        <w:tabs>
          <w:tab w:pos="435" w:val="left" w:leader="none"/>
        </w:tabs>
        <w:spacing w:before="135"/>
        <w:ind w:left="89" w:right="0" w:firstLine="0"/>
        <w:jc w:val="left"/>
        <w:rPr>
          <w:sz w:val="22"/>
        </w:rPr>
      </w:pPr>
      <w:r>
        <w:rPr>
          <w:position w:val="6"/>
        </w:rPr>
        <w:drawing>
          <wp:inline distT="0" distB="0" distL="0" distR="0">
            <wp:extent cx="38100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 w:hAnsi="Times New Roman"/>
          <w:sz w:val="20"/>
        </w:rPr>
        <w:tab/>
      </w:r>
      <w:r>
        <w:rPr>
          <w:sz w:val="22"/>
        </w:rPr>
        <w:t>Protected</w:t>
      </w:r>
      <w:r>
        <w:rPr>
          <w:spacing w:val="-4"/>
          <w:sz w:val="22"/>
        </w:rPr>
        <w:t> </w:t>
      </w:r>
      <w:r>
        <w:rPr>
          <w:sz w:val="22"/>
        </w:rPr>
        <w:t>clients’</w:t>
      </w:r>
      <w:r>
        <w:rPr>
          <w:spacing w:val="-10"/>
          <w:sz w:val="22"/>
        </w:rPr>
        <w:t> </w:t>
      </w:r>
      <w:r>
        <w:rPr>
          <w:sz w:val="22"/>
        </w:rPr>
        <w:t>IP</w:t>
      </w:r>
      <w:r>
        <w:rPr>
          <w:spacing w:val="-11"/>
          <w:sz w:val="22"/>
        </w:rPr>
        <w:t> </w:t>
      </w: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25+</w:t>
      </w:r>
      <w:r>
        <w:rPr>
          <w:spacing w:val="-4"/>
          <w:sz w:val="22"/>
        </w:rPr>
        <w:t> </w:t>
      </w:r>
      <w:r>
        <w:rPr>
          <w:sz w:val="22"/>
        </w:rPr>
        <w:t>copyright</w:t>
      </w:r>
      <w:r>
        <w:rPr>
          <w:spacing w:val="-4"/>
          <w:sz w:val="22"/>
        </w:rPr>
        <w:t> </w:t>
      </w:r>
      <w:r>
        <w:rPr>
          <w:sz w:val="22"/>
        </w:rPr>
        <w:t>infringement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cases</w:t>
      </w:r>
    </w:p>
    <w:p>
      <w:pPr>
        <w:spacing w:line="240" w:lineRule="auto" w:before="26"/>
        <w:rPr>
          <w:sz w:val="22"/>
        </w:rPr>
      </w:pPr>
    </w:p>
    <w:p>
      <w:pPr>
        <w:pStyle w:val="BodyText"/>
        <w:ind w:left="63"/>
        <w:rPr>
          <w:rFonts w:ascii="Calibri" w:hAnsi="Calibri"/>
        </w:rPr>
      </w:pPr>
      <w:r>
        <w:rPr>
          <w:rFonts w:ascii="Calibri" w:hAnsi="Calibri"/>
          <w:w w:val="125"/>
        </w:rPr>
        <w:t>Associate</w:t>
      </w:r>
      <w:r>
        <w:rPr>
          <w:rFonts w:ascii="Calibri" w:hAnsi="Calibri"/>
          <w:spacing w:val="-5"/>
          <w:w w:val="125"/>
        </w:rPr>
        <w:t> </w:t>
      </w:r>
      <w:r>
        <w:rPr>
          <w:rFonts w:ascii="Calibri" w:hAnsi="Calibri"/>
          <w:w w:val="125"/>
        </w:rPr>
        <w:t>Attorney</w:t>
      </w:r>
      <w:r>
        <w:rPr>
          <w:rFonts w:ascii="Calibri" w:hAnsi="Calibri"/>
          <w:spacing w:val="-5"/>
          <w:w w:val="125"/>
        </w:rPr>
        <w:t> </w:t>
      </w:r>
      <w:r>
        <w:rPr>
          <w:rFonts w:ascii="Calibri" w:hAnsi="Calibri"/>
          <w:w w:val="125"/>
        </w:rPr>
        <w:t>–</w:t>
      </w:r>
      <w:r>
        <w:rPr>
          <w:rFonts w:ascii="Calibri" w:hAnsi="Calibri"/>
          <w:spacing w:val="-5"/>
          <w:w w:val="125"/>
        </w:rPr>
        <w:t> </w:t>
      </w:r>
      <w:r>
        <w:rPr>
          <w:rFonts w:ascii="Calibri" w:hAnsi="Calibri"/>
          <w:w w:val="125"/>
        </w:rPr>
        <w:t>Media</w:t>
      </w:r>
      <w:r>
        <w:rPr>
          <w:rFonts w:ascii="Calibri" w:hAnsi="Calibri"/>
          <w:spacing w:val="-5"/>
          <w:w w:val="125"/>
        </w:rPr>
        <w:t> Law</w:t>
      </w:r>
    </w:p>
    <w:p>
      <w:pPr>
        <w:tabs>
          <w:tab w:pos="6951" w:val="left" w:leader="none"/>
        </w:tabs>
        <w:spacing w:before="114"/>
        <w:ind w:left="63" w:right="0" w:firstLine="0"/>
        <w:jc w:val="left"/>
        <w:rPr>
          <w:i/>
          <w:sz w:val="22"/>
        </w:rPr>
      </w:pPr>
      <w:r>
        <w:rPr>
          <w:i/>
          <w:position w:val="1"/>
          <w:sz w:val="22"/>
        </w:rPr>
        <w:t>Lloyd</w:t>
      </w:r>
      <w:r>
        <w:rPr>
          <w:i/>
          <w:spacing w:val="-8"/>
          <w:position w:val="1"/>
          <w:sz w:val="22"/>
        </w:rPr>
        <w:t> </w:t>
      </w:r>
      <w:r>
        <w:rPr>
          <w:i/>
          <w:position w:val="1"/>
          <w:sz w:val="22"/>
        </w:rPr>
        <w:t>&amp;</w:t>
      </w:r>
      <w:r>
        <w:rPr>
          <w:i/>
          <w:spacing w:val="-7"/>
          <w:position w:val="1"/>
          <w:sz w:val="22"/>
        </w:rPr>
        <w:t> </w:t>
      </w:r>
      <w:r>
        <w:rPr>
          <w:i/>
          <w:position w:val="1"/>
          <w:sz w:val="22"/>
        </w:rPr>
        <w:t>Crescent</w:t>
      </w:r>
      <w:r>
        <w:rPr>
          <w:i/>
          <w:spacing w:val="-8"/>
          <w:position w:val="1"/>
          <w:sz w:val="22"/>
        </w:rPr>
        <w:t> </w:t>
      </w:r>
      <w:r>
        <w:rPr>
          <w:i/>
          <w:position w:val="1"/>
          <w:sz w:val="22"/>
        </w:rPr>
        <w:t>LLP,</w:t>
      </w:r>
      <w:r>
        <w:rPr>
          <w:i/>
          <w:spacing w:val="-7"/>
          <w:position w:val="1"/>
          <w:sz w:val="22"/>
        </w:rPr>
        <w:t> </w:t>
      </w:r>
      <w:r>
        <w:rPr>
          <w:i/>
          <w:position w:val="1"/>
          <w:sz w:val="22"/>
        </w:rPr>
        <w:t>Los</w:t>
      </w:r>
      <w:r>
        <w:rPr>
          <w:i/>
          <w:spacing w:val="-14"/>
          <w:position w:val="1"/>
          <w:sz w:val="22"/>
        </w:rPr>
        <w:t> </w:t>
      </w:r>
      <w:r>
        <w:rPr>
          <w:i/>
          <w:position w:val="1"/>
          <w:sz w:val="22"/>
        </w:rPr>
        <w:t>Angeles,</w:t>
      </w:r>
      <w:r>
        <w:rPr>
          <w:i/>
          <w:spacing w:val="-7"/>
          <w:position w:val="1"/>
          <w:sz w:val="22"/>
        </w:rPr>
        <w:t> </w:t>
      </w:r>
      <w:r>
        <w:rPr>
          <w:i/>
          <w:spacing w:val="-5"/>
          <w:position w:val="1"/>
          <w:sz w:val="22"/>
        </w:rPr>
        <w:t>CA</w:t>
      </w:r>
      <w:r>
        <w:rPr>
          <w:i/>
          <w:position w:val="1"/>
          <w:sz w:val="22"/>
        </w:rPr>
        <w:tab/>
      </w:r>
      <w:r>
        <w:rPr>
          <w:i/>
          <w:sz w:val="22"/>
        </w:rPr>
        <w:t>August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tabs>
          <w:tab w:pos="435" w:val="left" w:leader="none"/>
        </w:tabs>
        <w:spacing w:line="280" w:lineRule="auto" w:before="180"/>
        <w:ind w:left="435" w:right="318" w:hanging="346"/>
        <w:jc w:val="left"/>
        <w:rPr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sz w:val="22"/>
        </w:rPr>
        <w:t>Drafted talent agreements, location releases, and royalty contracts for indie film and </w:t>
      </w:r>
      <w:r>
        <w:rPr>
          <w:w w:val="105"/>
          <w:sz w:val="22"/>
        </w:rPr>
        <w:t>music clients</w:t>
      </w:r>
    </w:p>
    <w:p>
      <w:pPr>
        <w:spacing w:line="240" w:lineRule="auto"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170902</wp:posOffset>
                </wp:positionV>
                <wp:extent cx="587692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3.456895pt;width:462.749963pt;height:.75pt;mso-position-horizontal-relative:page;mso-position-vertical-relative:paragraph;z-index:-15727616;mso-wrap-distance-left:0;mso-wrap-distance-right:0" id="docshape3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"/>
      </w:pPr>
      <w:r>
        <w:rPr>
          <w:color w:val="E37829"/>
          <w:spacing w:val="-2"/>
          <w:w w:val="130"/>
        </w:rPr>
        <w:t>Education</w:t>
      </w:r>
    </w:p>
    <w:p>
      <w:pPr>
        <w:pStyle w:val="BodyText"/>
        <w:spacing w:before="222"/>
        <w:ind w:left="63"/>
        <w:rPr>
          <w:rFonts w:ascii="Calibri"/>
        </w:rPr>
      </w:pPr>
      <w:r>
        <w:rPr>
          <w:rFonts w:ascii="Calibri"/>
          <w:w w:val="130"/>
        </w:rPr>
        <w:t>Juris</w:t>
      </w:r>
      <w:r>
        <w:rPr>
          <w:rFonts w:ascii="Calibri"/>
          <w:spacing w:val="-2"/>
          <w:w w:val="130"/>
        </w:rPr>
        <w:t> </w:t>
      </w:r>
      <w:r>
        <w:rPr>
          <w:rFonts w:ascii="Calibri"/>
          <w:w w:val="130"/>
        </w:rPr>
        <w:t>Doctor</w:t>
      </w:r>
      <w:r>
        <w:rPr>
          <w:rFonts w:ascii="Calibri"/>
          <w:spacing w:val="-2"/>
          <w:w w:val="130"/>
        </w:rPr>
        <w:t> (J.D.)</w:t>
      </w:r>
    </w:p>
    <w:p>
      <w:pPr>
        <w:spacing w:before="170"/>
        <w:ind w:left="63" w:right="0" w:firstLine="0"/>
        <w:jc w:val="left"/>
        <w:rPr>
          <w:sz w:val="22"/>
        </w:rPr>
      </w:pPr>
      <w:r>
        <w:rPr>
          <w:sz w:val="22"/>
        </w:rPr>
        <w:t>UCLA</w:t>
      </w:r>
      <w:r>
        <w:rPr>
          <w:spacing w:val="10"/>
          <w:sz w:val="22"/>
        </w:rPr>
        <w:t> </w:t>
      </w:r>
      <w:r>
        <w:rPr>
          <w:sz w:val="22"/>
        </w:rPr>
        <w:t>School</w:t>
      </w:r>
      <w:r>
        <w:rPr>
          <w:spacing w:val="11"/>
          <w:sz w:val="22"/>
        </w:rPr>
        <w:t> </w:t>
      </w:r>
      <w:r>
        <w:rPr>
          <w:sz w:val="22"/>
        </w:rPr>
        <w:t>of</w:t>
      </w:r>
      <w:r>
        <w:rPr>
          <w:spacing w:val="14"/>
          <w:sz w:val="22"/>
        </w:rPr>
        <w:t> </w:t>
      </w:r>
      <w:r>
        <w:rPr>
          <w:sz w:val="22"/>
        </w:rPr>
        <w:t>Law</w:t>
      </w:r>
      <w:r>
        <w:rPr>
          <w:spacing w:val="12"/>
          <w:sz w:val="22"/>
        </w:rPr>
        <w:t> </w:t>
      </w:r>
      <w:r>
        <w:rPr>
          <w:w w:val="85"/>
          <w:sz w:val="22"/>
        </w:rPr>
        <w:t>|</w:t>
      </w:r>
      <w:r>
        <w:rPr>
          <w:spacing w:val="22"/>
          <w:sz w:val="22"/>
        </w:rPr>
        <w:t> </w:t>
      </w:r>
      <w:r>
        <w:rPr>
          <w:spacing w:val="-4"/>
          <w:sz w:val="22"/>
        </w:rPr>
        <w:t>2015</w:t>
      </w:r>
    </w:p>
    <w:p>
      <w:pPr>
        <w:spacing w:line="240" w:lineRule="auto" w:before="26"/>
        <w:rPr>
          <w:sz w:val="22"/>
        </w:rPr>
      </w:pPr>
    </w:p>
    <w:p>
      <w:pPr>
        <w:pStyle w:val="BodyText"/>
        <w:ind w:left="63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Arts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Film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and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Media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spacing w:val="-2"/>
          <w:w w:val="130"/>
        </w:rPr>
        <w:t>Studies</w:t>
      </w:r>
    </w:p>
    <w:p>
      <w:pPr>
        <w:spacing w:before="169"/>
        <w:ind w:left="63" w:right="0" w:firstLine="0"/>
        <w:jc w:val="left"/>
        <w:rPr>
          <w:sz w:val="22"/>
        </w:rPr>
      </w:pPr>
      <w:r>
        <w:rPr>
          <w:sz w:val="22"/>
        </w:rPr>
        <w:t>University</w:t>
      </w:r>
      <w:r>
        <w:rPr>
          <w:spacing w:val="-10"/>
          <w:sz w:val="22"/>
        </w:rPr>
        <w:t> </w:t>
      </w:r>
      <w:r>
        <w:rPr>
          <w:sz w:val="22"/>
        </w:rPr>
        <w:t>of</w:t>
      </w:r>
      <w:r>
        <w:rPr>
          <w:spacing w:val="-9"/>
          <w:sz w:val="22"/>
        </w:rPr>
        <w:t> </w:t>
      </w:r>
      <w:r>
        <w:rPr>
          <w:sz w:val="22"/>
        </w:rPr>
        <w:t>Southern</w:t>
      </w:r>
      <w:r>
        <w:rPr>
          <w:spacing w:val="-3"/>
          <w:sz w:val="22"/>
        </w:rPr>
        <w:t> </w:t>
      </w:r>
      <w:r>
        <w:rPr>
          <w:sz w:val="22"/>
        </w:rPr>
        <w:t>California</w:t>
      </w:r>
      <w:r>
        <w:rPr>
          <w:spacing w:val="-3"/>
          <w:sz w:val="22"/>
        </w:rPr>
        <w:t> </w:t>
      </w:r>
      <w:r>
        <w:rPr>
          <w:w w:val="85"/>
          <w:sz w:val="22"/>
        </w:rPr>
        <w:t>|</w:t>
      </w:r>
      <w:r>
        <w:rPr>
          <w:spacing w:val="-4"/>
          <w:sz w:val="22"/>
        </w:rPr>
        <w:t> 2011</w:t>
      </w:r>
    </w:p>
    <w:sectPr>
      <w:type w:val="continuous"/>
      <w:pgSz w:w="11920" w:h="16860"/>
      <w:pgMar w:top="106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2025-12-20T22:18:14Z</dcterms:created>
  <dcterms:modified xsi:type="dcterms:W3CDTF">2025-12-20T22:18:14Z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