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1"/>
        </w:rPr>
        <w:t>Chris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Jackson</w:t>
      </w:r>
    </w:p>
    <w:p>
      <w:pPr>
        <w:spacing w:before="149"/>
        <w:ind w:left="125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pacing w:val="2"/>
          <w:sz w:val="29"/>
        </w:rPr>
        <w:t>Industrial</w:t>
      </w:r>
      <w:r>
        <w:rPr>
          <w:rFonts w:ascii="Microsoft Sans Serif"/>
          <w:color w:val="FFFFFF"/>
          <w:spacing w:val="54"/>
          <w:sz w:val="29"/>
        </w:rPr>
        <w:t> </w:t>
      </w:r>
      <w:r>
        <w:rPr>
          <w:rFonts w:ascii="Microsoft Sans Serif"/>
          <w:color w:val="FFFFFF"/>
          <w:spacing w:val="2"/>
          <w:sz w:val="29"/>
        </w:rPr>
        <w:t>Construction</w:t>
      </w:r>
      <w:r>
        <w:rPr>
          <w:rFonts w:ascii="Microsoft Sans Serif"/>
          <w:color w:val="FFFFFF"/>
          <w:spacing w:val="55"/>
          <w:sz w:val="29"/>
        </w:rPr>
        <w:t> </w:t>
      </w:r>
      <w:r>
        <w:rPr>
          <w:rFonts w:ascii="Microsoft Sans Serif"/>
          <w:color w:val="FFFFFF"/>
          <w:spacing w:val="-2"/>
          <w:sz w:val="29"/>
        </w:rPr>
        <w:t>Manager</w:t>
      </w:r>
    </w:p>
    <w:p>
      <w:pPr>
        <w:pStyle w:val="BodyText"/>
        <w:spacing w:before="81"/>
        <w:ind w:right="148"/>
        <w:jc w:val="right"/>
      </w:pPr>
      <w:r>
        <w:rPr/>
        <w:br w:type="column"/>
      </w: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04"/>
        <w:ind w:right="148"/>
        <w:jc w:val="right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90"/>
        <w:ind w:right="148"/>
        <w:jc w:val="right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760" w:bottom="280" w:left="1275" w:right="850"/>
          <w:cols w:num="2" w:equalWidth="0">
            <w:col w:w="5644" w:space="600"/>
            <w:col w:w="35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1275" w:right="850"/>
        </w:sectPr>
      </w:pPr>
    </w:p>
    <w:p>
      <w:pPr>
        <w:spacing w:line="280" w:lineRule="auto" w:before="104"/>
        <w:ind w:left="63" w:right="204" w:firstLine="0"/>
        <w:jc w:val="left"/>
        <w:rPr>
          <w:b/>
          <w:sz w:val="22"/>
        </w:rPr>
      </w:pPr>
      <w:r>
        <w:rPr>
          <w:b/>
          <w:w w:val="105"/>
          <w:sz w:val="22"/>
        </w:rPr>
        <w:t>Construction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Manager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experienced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large-scale industrial facilities and plant expansions</w:t>
      </w:r>
    </w:p>
    <w:p>
      <w:pPr>
        <w:spacing w:line="278" w:lineRule="auto" w:before="107"/>
        <w:ind w:left="63" w:right="0" w:firstLine="0"/>
        <w:jc w:val="left"/>
        <w:rPr>
          <w:b/>
          <w:sz w:val="22"/>
        </w:rPr>
      </w:pPr>
      <w:r>
        <w:rPr>
          <w:b/>
          <w:sz w:val="22"/>
        </w:rPr>
        <w:t>Industrial Construction Manager with 13 years of experience leading projects in manufacturing, food processing, and warehouse development. Skilled in coordinating MEP systems, navigating regulatory inspections, and managing aggressive construction</w:t>
      </w:r>
      <w:r>
        <w:rPr>
          <w:b/>
          <w:spacing w:val="40"/>
          <w:sz w:val="22"/>
        </w:rPr>
        <w:t> </w:t>
      </w:r>
      <w:r>
        <w:rPr>
          <w:b/>
          <w:spacing w:val="-2"/>
          <w:sz w:val="22"/>
        </w:rPr>
        <w:t>timelines.</w:t>
      </w:r>
    </w:p>
    <w:p>
      <w:pPr>
        <w:pStyle w:val="BodyText"/>
        <w:spacing w:before="164"/>
        <w:rPr>
          <w:b/>
        </w:rPr>
      </w:pPr>
    </w:p>
    <w:p>
      <w:pPr>
        <w:pStyle w:val="Heading2"/>
      </w:pP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spacing w:before="219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Sustainability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z w:val="22"/>
        </w:rPr>
        <w:t>Project</w:t>
      </w:r>
      <w:r>
        <w:rPr>
          <w:rFonts w:ascii="Arial"/>
          <w:b/>
          <w:spacing w:val="10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</w:p>
    <w:p>
      <w:pPr>
        <w:pStyle w:val="BodyText"/>
        <w:spacing w:before="262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sz w:val="26"/>
        </w:rPr>
      </w:r>
    </w:p>
    <w:p>
      <w:pPr>
        <w:pStyle w:val="Heading2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234"/>
        <w:ind w:left="63"/>
      </w:pPr>
      <w:r>
        <w:rPr/>
        <w:t>Building</w:t>
      </w:r>
      <w:r>
        <w:rPr>
          <w:spacing w:val="42"/>
        </w:rPr>
        <w:t> </w:t>
      </w:r>
      <w:r>
        <w:rPr/>
        <w:t>system</w:t>
      </w:r>
      <w:r>
        <w:rPr>
          <w:spacing w:val="43"/>
        </w:rPr>
        <w:t> </w:t>
      </w:r>
      <w:r>
        <w:rPr>
          <w:spacing w:val="-2"/>
        </w:rPr>
        <w:t>integration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63"/>
      </w:pPr>
      <w:r>
        <w:rPr>
          <w:w w:val="105"/>
        </w:rPr>
        <w:t>Cold</w:t>
      </w:r>
      <w:r>
        <w:rPr>
          <w:spacing w:val="3"/>
          <w:w w:val="105"/>
        </w:rPr>
        <w:t> </w:t>
      </w:r>
      <w:r>
        <w:rPr>
          <w:w w:val="105"/>
        </w:rPr>
        <w:t>storage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construction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63"/>
      </w:pPr>
      <w:r>
        <w:rPr>
          <w:spacing w:val="-4"/>
        </w:rPr>
        <w:t>Facility</w:t>
      </w:r>
      <w:r>
        <w:rPr>
          <w:spacing w:val="-6"/>
        </w:rPr>
        <w:t> </w:t>
      </w:r>
      <w:r>
        <w:rPr>
          <w:spacing w:val="-2"/>
        </w:rPr>
        <w:t>upgrades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before="1"/>
        <w:ind w:left="63"/>
      </w:pPr>
      <w:r>
        <w:rPr/>
        <w:t>Industrial</w:t>
      </w:r>
      <w:r>
        <w:rPr>
          <w:spacing w:val="-10"/>
        </w:rPr>
        <w:t> </w:t>
      </w:r>
      <w:r>
        <w:rPr>
          <w:spacing w:val="-2"/>
        </w:rPr>
        <w:t>permitting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275" w:right="850"/>
          <w:cols w:num="2" w:equalWidth="0">
            <w:col w:w="5554" w:space="1235"/>
            <w:col w:w="3006"/>
          </w:cols>
        </w:sectPr>
      </w:pPr>
    </w:p>
    <w:p>
      <w:pPr>
        <w:spacing w:line="268" w:lineRule="auto" w:before="9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GreenAxis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Construction,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Portland, OR</w:t>
      </w:r>
    </w:p>
    <w:p>
      <w:pPr>
        <w:spacing w:before="29"/>
        <w:ind w:left="6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z w:val="22"/>
        </w:rPr>
        <w:t>June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760" w:bottom="280" w:left="1275" w:right="850"/>
          <w:cols w:num="2" w:equalWidth="0">
            <w:col w:w="2428" w:space="1729"/>
            <w:col w:w="5638"/>
          </w:cols>
        </w:sectPr>
      </w:pPr>
    </w:p>
    <w:p>
      <w:pPr>
        <w:pStyle w:val="BodyText"/>
        <w:spacing w:line="280" w:lineRule="auto" w:before="153"/>
        <w:ind w:left="435"/>
      </w:pPr>
      <w:r>
        <w:rPr>
          <w:w w:val="105"/>
        </w:rPr>
        <w:t>Managed</w:t>
      </w:r>
      <w:r>
        <w:rPr>
          <w:spacing w:val="-1"/>
          <w:w w:val="105"/>
        </w:rPr>
        <w:t> </w:t>
      </w:r>
      <w:r>
        <w:rPr>
          <w:w w:val="105"/>
        </w:rPr>
        <w:t>seven</w:t>
      </w:r>
      <w:r>
        <w:rPr>
          <w:spacing w:val="-1"/>
          <w:w w:val="105"/>
        </w:rPr>
        <w:t> </w:t>
      </w:r>
      <w:r>
        <w:rPr>
          <w:w w:val="105"/>
        </w:rPr>
        <w:t>LEED-certified</w:t>
      </w:r>
      <w:r>
        <w:rPr>
          <w:spacing w:val="-1"/>
          <w:w w:val="105"/>
        </w:rPr>
        <w:t> </w:t>
      </w:r>
      <w:r>
        <w:rPr>
          <w:w w:val="105"/>
        </w:rPr>
        <w:t>builds,</w:t>
      </w:r>
      <w:r>
        <w:rPr>
          <w:spacing w:val="-1"/>
          <w:w w:val="105"/>
        </w:rPr>
        <w:t> </w:t>
      </w:r>
      <w:r>
        <w:rPr>
          <w:w w:val="105"/>
        </w:rPr>
        <w:t>including</w:t>
      </w:r>
      <w:r>
        <w:rPr>
          <w:spacing w:val="-1"/>
          <w:w w:val="105"/>
        </w:rPr>
        <w:t> </w:t>
      </w:r>
      <w:r>
        <w:rPr>
          <w:w w:val="105"/>
        </w:rPr>
        <w:t>two LEED Platinum school facilities</w:t>
      </w:r>
    </w:p>
    <w:p>
      <w:pPr>
        <w:pStyle w:val="BodyText"/>
        <w:spacing w:line="268" w:lineRule="auto" w:before="92"/>
        <w:ind w:left="435"/>
      </w:pP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water</w:t>
      </w:r>
      <w:r>
        <w:rPr>
          <w:spacing w:val="-12"/>
          <w:w w:val="105"/>
        </w:rPr>
        <w:t> </w:t>
      </w:r>
      <w:r>
        <w:rPr>
          <w:w w:val="105"/>
        </w:rPr>
        <w:t>use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50%</w:t>
      </w:r>
      <w:r>
        <w:rPr>
          <w:spacing w:val="-6"/>
          <w:w w:val="105"/>
        </w:rPr>
        <w:t> </w:t>
      </w:r>
      <w:r>
        <w:rPr>
          <w:w w:val="105"/>
        </w:rPr>
        <w:t>on</w:t>
      </w:r>
      <w:r>
        <w:rPr>
          <w:spacing w:val="-6"/>
          <w:w w:val="105"/>
        </w:rPr>
        <w:t> </w:t>
      </w:r>
      <w:r>
        <w:rPr>
          <w:w w:val="105"/>
        </w:rPr>
        <w:t>three</w:t>
      </w:r>
      <w:r>
        <w:rPr>
          <w:spacing w:val="-6"/>
          <w:w w:val="105"/>
        </w:rPr>
        <w:t> </w:t>
      </w:r>
      <w:r>
        <w:rPr>
          <w:w w:val="105"/>
        </w:rPr>
        <w:t>projects</w:t>
      </w:r>
      <w:r>
        <w:rPr>
          <w:spacing w:val="-6"/>
          <w:w w:val="105"/>
        </w:rPr>
        <w:t> </w:t>
      </w:r>
      <w:r>
        <w:rPr>
          <w:w w:val="105"/>
        </w:rPr>
        <w:t>through fixture</w:t>
      </w:r>
      <w:r>
        <w:rPr>
          <w:spacing w:val="-2"/>
          <w:w w:val="105"/>
        </w:rPr>
        <w:t> </w:t>
      </w:r>
      <w:r>
        <w:rPr>
          <w:w w:val="105"/>
        </w:rPr>
        <w:t>specification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irrigation</w:t>
      </w:r>
      <w:r>
        <w:rPr>
          <w:spacing w:val="-2"/>
          <w:w w:val="105"/>
        </w:rPr>
        <w:t> </w:t>
      </w:r>
      <w:r>
        <w:rPr>
          <w:w w:val="105"/>
        </w:rPr>
        <w:t>upgrades</w:t>
      </w:r>
    </w:p>
    <w:p>
      <w:pPr>
        <w:pStyle w:val="BodyText"/>
        <w:spacing w:line="280" w:lineRule="auto" w:before="103"/>
        <w:ind w:left="435"/>
      </w:pPr>
      <w:r>
        <w:rPr>
          <w:w w:val="105"/>
        </w:rPr>
        <w:t>Partnered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energy</w:t>
      </w:r>
      <w:r>
        <w:rPr>
          <w:spacing w:val="-17"/>
          <w:w w:val="105"/>
        </w:rPr>
        <w:t> </w:t>
      </w:r>
      <w:r>
        <w:rPr>
          <w:w w:val="105"/>
        </w:rPr>
        <w:t>consultants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exceed</w:t>
      </w:r>
      <w:r>
        <w:rPr>
          <w:spacing w:val="-10"/>
          <w:w w:val="105"/>
        </w:rPr>
        <w:t> </w:t>
      </w:r>
      <w:r>
        <w:rPr>
          <w:w w:val="105"/>
        </w:rPr>
        <w:t>code efficiency</w:t>
      </w:r>
      <w:r>
        <w:rPr>
          <w:spacing w:val="-10"/>
          <w:w w:val="105"/>
        </w:rPr>
        <w:t> </w:t>
      </w:r>
      <w:r>
        <w:rPr>
          <w:w w:val="105"/>
        </w:rPr>
        <w:t>requirements</w:t>
      </w:r>
    </w:p>
    <w:p>
      <w:pPr>
        <w:pStyle w:val="Heading3"/>
        <w:spacing w:before="227"/>
        <w:rPr>
          <w:rFonts w:ascii="Arial"/>
        </w:rPr>
      </w:pPr>
      <w:r>
        <w:rPr>
          <w:rFonts w:ascii="Arial"/>
        </w:rPr>
        <w:t>Assistant</w:t>
      </w:r>
      <w:r>
        <w:rPr>
          <w:rFonts w:ascii="Arial"/>
          <w:spacing w:val="2"/>
        </w:rPr>
        <w:t> </w:t>
      </w:r>
      <w:r>
        <w:rPr>
          <w:rFonts w:ascii="Arial"/>
        </w:rPr>
        <w:t>Project</w:t>
      </w:r>
      <w:r>
        <w:rPr>
          <w:rFonts w:ascii="Arial"/>
          <w:spacing w:val="2"/>
        </w:rPr>
        <w:t> </w:t>
      </w:r>
      <w:r>
        <w:rPr>
          <w:rFonts w:ascii="Arial"/>
          <w:spacing w:val="-2"/>
        </w:rPr>
        <w:t>Manager</w:t>
      </w:r>
    </w:p>
    <w:p>
      <w:pPr>
        <w:tabs>
          <w:tab w:pos="4326" w:val="left" w:leader="none"/>
        </w:tabs>
        <w:spacing w:line="280" w:lineRule="auto" w:before="92"/>
        <w:ind w:left="5697" w:right="0" w:hanging="5634"/>
        <w:jc w:val="left"/>
        <w:rPr>
          <w:i/>
          <w:sz w:val="22"/>
        </w:rPr>
      </w:pPr>
      <w:r>
        <w:rPr>
          <w:i/>
          <w:sz w:val="22"/>
        </w:rPr>
        <w:t>TerraBuild Group, Eugene, OR</w:t>
        <w:tab/>
        <w:t>August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May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2016</w:t>
      </w:r>
    </w:p>
    <w:p>
      <w:pPr>
        <w:pStyle w:val="BodyText"/>
        <w:spacing w:line="268" w:lineRule="auto" w:before="122"/>
        <w:ind w:left="435"/>
      </w:pPr>
      <w:r>
        <w:rPr>
          <w:w w:val="105"/>
        </w:rPr>
        <w:t>Maintained</w:t>
      </w:r>
      <w:r>
        <w:rPr>
          <w:spacing w:val="-4"/>
          <w:w w:val="105"/>
        </w:rPr>
        <w:t> </w:t>
      </w:r>
      <w:r>
        <w:rPr>
          <w:w w:val="105"/>
        </w:rPr>
        <w:t>documentation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LEED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local</w:t>
      </w:r>
      <w:r>
        <w:rPr>
          <w:spacing w:val="-12"/>
          <w:w w:val="105"/>
        </w:rPr>
        <w:t> </w:t>
      </w:r>
      <w:r>
        <w:rPr>
          <w:w w:val="105"/>
        </w:rPr>
        <w:t>green </w:t>
      </w:r>
      <w:r>
        <w:rPr>
          <w:spacing w:val="-2"/>
          <w:w w:val="105"/>
        </w:rPr>
        <w:t>standards</w:t>
      </w:r>
    </w:p>
    <w:p>
      <w:pPr>
        <w:pStyle w:val="BodyText"/>
        <w:spacing w:line="280" w:lineRule="auto" w:before="103"/>
        <w:ind w:left="435"/>
      </w:pPr>
      <w:r>
        <w:rPr>
          <w:w w:val="105"/>
        </w:rPr>
        <w:t>Worked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vendors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source</w:t>
      </w:r>
      <w:r>
        <w:rPr>
          <w:spacing w:val="-6"/>
          <w:w w:val="105"/>
        </w:rPr>
        <w:t> </w:t>
      </w:r>
      <w:r>
        <w:rPr>
          <w:w w:val="105"/>
        </w:rPr>
        <w:t>renewable</w:t>
      </w:r>
      <w:r>
        <w:rPr>
          <w:spacing w:val="-6"/>
          <w:w w:val="105"/>
        </w:rPr>
        <w:t> </w:t>
      </w:r>
      <w:r>
        <w:rPr>
          <w:w w:val="105"/>
        </w:rPr>
        <w:t>building </w:t>
      </w:r>
      <w:r>
        <w:rPr>
          <w:spacing w:val="-2"/>
          <w:w w:val="105"/>
        </w:rPr>
        <w:t>materials</w:t>
      </w:r>
    </w:p>
    <w:p>
      <w:pPr>
        <w:pStyle w:val="BodyText"/>
        <w:spacing w:line="280" w:lineRule="auto" w:before="92"/>
        <w:ind w:left="435"/>
      </w:pPr>
      <w:r>
        <w:rPr>
          <w:w w:val="105"/>
        </w:rPr>
        <w:t>Conducted sustainability</w:t>
      </w:r>
      <w:r>
        <w:rPr>
          <w:spacing w:val="-6"/>
          <w:w w:val="105"/>
        </w:rPr>
        <w:t> </w:t>
      </w:r>
      <w:r>
        <w:rPr>
          <w:w w:val="105"/>
        </w:rPr>
        <w:t>site checks and logged compliance metrics</w:t>
      </w:r>
    </w:p>
    <w:p>
      <w:pPr>
        <w:pStyle w:val="BodyText"/>
        <w:spacing w:before="3"/>
        <w:ind w:left="63"/>
      </w:pPr>
      <w:r>
        <w:rPr/>
        <w:br w:type="column"/>
      </w:r>
      <w:r>
        <w:rPr>
          <w:w w:val="110"/>
        </w:rPr>
        <w:t>MEP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coordination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before="1"/>
        <w:ind w:left="63"/>
      </w:pPr>
      <w:r>
        <w:rPr>
          <w:w w:val="110"/>
        </w:rPr>
        <w:t>OSHA</w:t>
      </w:r>
      <w:r>
        <w:rPr>
          <w:spacing w:val="10"/>
          <w:w w:val="110"/>
        </w:rPr>
        <w:t> </w:t>
      </w:r>
      <w:r>
        <w:rPr>
          <w:spacing w:val="-2"/>
          <w:w w:val="110"/>
        </w:rPr>
        <w:t>compliance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63"/>
      </w:pPr>
      <w:r>
        <w:rPr/>
        <w:t>Steel</w:t>
      </w:r>
      <w:r>
        <w:rPr>
          <w:spacing w:val="1"/>
        </w:rPr>
        <w:t> </w:t>
      </w:r>
      <w:r>
        <w:rPr/>
        <w:t>structure</w:t>
      </w:r>
      <w:r>
        <w:rPr>
          <w:spacing w:val="11"/>
        </w:rPr>
        <w:t> </w:t>
      </w:r>
      <w:r>
        <w:rPr>
          <w:spacing w:val="-2"/>
        </w:rPr>
        <w:t>installation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63"/>
      </w:pPr>
      <w:r>
        <w:rPr>
          <w:spacing w:val="-5"/>
        </w:rPr>
        <w:t>Utility</w:t>
      </w:r>
      <w:r>
        <w:rPr>
          <w:spacing w:val="-9"/>
        </w:rPr>
        <w:t> </w:t>
      </w:r>
      <w:r>
        <w:rPr>
          <w:spacing w:val="-2"/>
        </w:rPr>
        <w:t>planning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275" w:right="850"/>
          <w:cols w:num="2" w:equalWidth="0">
            <w:col w:w="6165" w:space="624"/>
            <w:col w:w="3006"/>
          </w:cols>
        </w:sectPr>
      </w:pPr>
    </w:p>
    <w:p>
      <w:pPr>
        <w:pStyle w:val="BodyText"/>
        <w:spacing w:before="113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804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048625">
                                <a:moveTo>
                                  <a:pt x="2600324" y="8048624"/>
                                </a:moveTo>
                                <a:lnTo>
                                  <a:pt x="0" y="80486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804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6050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6098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384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432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6718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766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2052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2100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7291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7339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2625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2673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57959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172074" y="580072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167312" y="63293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66762" y="4619624"/>
                            <a:ext cx="5019675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990850">
                                <a:moveTo>
                                  <a:pt x="38100" y="2959747"/>
                                </a:moveTo>
                                <a:lnTo>
                                  <a:pt x="21577" y="2943225"/>
                                </a:lnTo>
                                <a:lnTo>
                                  <a:pt x="16535" y="2943225"/>
                                </a:lnTo>
                                <a:lnTo>
                                  <a:pt x="0" y="2959747"/>
                                </a:lnTo>
                                <a:lnTo>
                                  <a:pt x="0" y="2971800"/>
                                </a:lnTo>
                                <a:lnTo>
                                  <a:pt x="0" y="2974327"/>
                                </a:lnTo>
                                <a:lnTo>
                                  <a:pt x="16535" y="2990850"/>
                                </a:lnTo>
                                <a:lnTo>
                                  <a:pt x="21577" y="2990850"/>
                                </a:lnTo>
                                <a:lnTo>
                                  <a:pt x="38100" y="2974327"/>
                                </a:lnTo>
                                <a:lnTo>
                                  <a:pt x="38100" y="2959747"/>
                                </a:lnTo>
                                <a:close/>
                              </a:path>
                              <a:path w="5019675" h="2990850">
                                <a:moveTo>
                                  <a:pt x="38100" y="2521610"/>
                                </a:moveTo>
                                <a:lnTo>
                                  <a:pt x="21577" y="2505075"/>
                                </a:lnTo>
                                <a:lnTo>
                                  <a:pt x="16535" y="2505075"/>
                                </a:lnTo>
                                <a:lnTo>
                                  <a:pt x="0" y="2521610"/>
                                </a:lnTo>
                                <a:lnTo>
                                  <a:pt x="0" y="2533650"/>
                                </a:lnTo>
                                <a:lnTo>
                                  <a:pt x="0" y="2536177"/>
                                </a:lnTo>
                                <a:lnTo>
                                  <a:pt x="16535" y="2552700"/>
                                </a:lnTo>
                                <a:lnTo>
                                  <a:pt x="21577" y="2552700"/>
                                </a:lnTo>
                                <a:lnTo>
                                  <a:pt x="38100" y="2536177"/>
                                </a:lnTo>
                                <a:lnTo>
                                  <a:pt x="38100" y="2521610"/>
                                </a:lnTo>
                                <a:close/>
                              </a:path>
                              <a:path w="5019675" h="2990850">
                                <a:moveTo>
                                  <a:pt x="38100" y="2083460"/>
                                </a:moveTo>
                                <a:lnTo>
                                  <a:pt x="21577" y="2066925"/>
                                </a:lnTo>
                                <a:lnTo>
                                  <a:pt x="16535" y="2066925"/>
                                </a:lnTo>
                                <a:lnTo>
                                  <a:pt x="0" y="2083460"/>
                                </a:lnTo>
                                <a:lnTo>
                                  <a:pt x="0" y="2095500"/>
                                </a:lnTo>
                                <a:lnTo>
                                  <a:pt x="0" y="2098027"/>
                                </a:lnTo>
                                <a:lnTo>
                                  <a:pt x="16535" y="2114550"/>
                                </a:lnTo>
                                <a:lnTo>
                                  <a:pt x="21577" y="2114550"/>
                                </a:lnTo>
                                <a:lnTo>
                                  <a:pt x="38100" y="2098027"/>
                                </a:lnTo>
                                <a:lnTo>
                                  <a:pt x="38100" y="2083460"/>
                                </a:lnTo>
                                <a:close/>
                              </a:path>
                              <a:path w="5019675" h="299085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019675" h="29908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29908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990850">
                                <a:moveTo>
                                  <a:pt x="5019675" y="1714500"/>
                                </a:moveTo>
                                <a:lnTo>
                                  <a:pt x="4305300" y="1714500"/>
                                </a:lnTo>
                                <a:lnTo>
                                  <a:pt x="4305300" y="1819275"/>
                                </a:lnTo>
                                <a:lnTo>
                                  <a:pt x="5019675" y="1819275"/>
                                </a:lnTo>
                                <a:lnTo>
                                  <a:pt x="5019675" y="1714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984" id="docshapegroup1" coordorigin="0,0" coordsize="11919,16858">
                <v:rect style="position:absolute;left:0;top:0;width:11919;height:525" id="docshape2" filled="true" fillcolor="#006a5c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006a5c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2675" id="docshape6" filled="true" fillcolor="#f5f5f5" stroked="false">
                  <v:fill type="solid"/>
                </v:rect>
                <v:rect style="position:absolute;left:8137;top:4102;width:2835;height:180" id="docshape7" filled="false" stroked="true" strokeweight=".75pt" strokecolor="#006a5c">
                  <v:stroke dashstyle="solid"/>
                </v:rect>
                <v:rect style="position:absolute;left:8145;top:4110;width:2820;height:165" id="docshape8" filled="true" fillcolor="#006a5c" stroked="false">
                  <v:fill type="solid"/>
                </v:rect>
                <v:rect style="position:absolute;left:8137;top:4942;width:2835;height:165" id="docshape9" filled="false" stroked="true" strokeweight=".75pt" strokecolor="#006a5c">
                  <v:stroke dashstyle="solid"/>
                </v:rect>
                <v:rect style="position:absolute;left:8145;top:4950;width:2820;height:165" id="docshape10" filled="true" fillcolor="#006a5c" stroked="false">
                  <v:fill type="solid"/>
                </v:rect>
                <v:rect style="position:absolute;left:8137;top:5782;width:2835;height:165" id="docshape11" filled="false" stroked="true" strokeweight=".75pt" strokecolor="#006a5c">
                  <v:stroke dashstyle="solid"/>
                </v:rect>
                <v:rect style="position:absolute;left:8145;top:5790;width:2250;height:165" id="docshape12" filled="true" fillcolor="#006a5c" stroked="false">
                  <v:fill type="solid"/>
                </v:rect>
                <v:rect style="position:absolute;left:8137;top:6622;width:2835;height:165" id="docshape13" filled="false" stroked="true" strokeweight=".75pt" strokecolor="#006a5c">
                  <v:stroke dashstyle="solid"/>
                </v:rect>
                <v:rect style="position:absolute;left:8145;top:6630;width:2250;height:165" id="docshape14" filled="true" fillcolor="#006a5c" stroked="false">
                  <v:fill type="solid"/>
                </v:rect>
                <v:rect style="position:absolute;left:8137;top:7447;width:2835;height:180" id="docshape15" filled="false" stroked="true" strokeweight=".75pt" strokecolor="#006a5c">
                  <v:stroke dashstyle="solid"/>
                </v:rect>
                <v:rect style="position:absolute;left:8145;top:7455;width:1695;height:165" id="docshape16" filled="true" fillcolor="#006a5c" stroked="false">
                  <v:fill type="solid"/>
                </v:rect>
                <v:rect style="position:absolute;left:8137;top:8287;width:2835;height:165" id="docshape17" filled="false" stroked="true" strokeweight=".75pt" strokecolor="#006a5c">
                  <v:stroke dashstyle="solid"/>
                </v:rect>
                <v:rect style="position:absolute;left:8145;top:8295;width:1695;height:165" id="docshape18" filled="true" fillcolor="#006a5c" stroked="false">
                  <v:fill type="solid"/>
                </v:rect>
                <v:rect style="position:absolute;left:8137;top:9127;width:2835;height:165" id="docshape19" filled="false" stroked="true" strokeweight=".75pt" strokecolor="#006a5c">
                  <v:stroke dashstyle="solid"/>
                </v:rect>
                <v:rect style="position:absolute;left:8145;top:9135;width:1125;height:165" id="docshape20" filled="true" fillcolor="#006a5c" stroked="false">
                  <v:fill type="solid"/>
                </v:rect>
                <v:rect style="position:absolute;left:8137;top:9967;width:2835;height:165" id="docshape21" filled="false" stroked="true" strokeweight=".75pt" strokecolor="#006a5c">
                  <v:stroke dashstyle="solid"/>
                </v:rect>
                <v:shape style="position:absolute;left:1364;top:7275;width:7905;height:4710" id="docshape22" coordorigin="1365,7275" coordsize="7905,4710" path="m1425,11936l1424,11932,1421,11925,1419,11922,1413,11916,1410,11914,1403,11911,1399,11910,1391,11910,1387,11911,1380,11914,1377,11916,1371,11922,1369,11925,1366,11932,1365,11936,1365,11955,1365,11959,1366,11963,1369,11970,1371,11973,1377,11979,1380,11981,1387,11984,1391,11985,1399,11985,1403,11984,1410,11981,1413,11979,1419,11973,1421,11970,1424,11963,1425,11959,1425,11936xm1425,11246l1424,11242,1421,11235,1419,11232,1413,11226,1410,11224,1403,11221,1399,11220,1391,11220,1387,11221,1380,11224,1377,11226,1371,11232,1369,11235,1366,11242,1365,11246,1365,11265,1365,11269,1366,11273,1369,11280,1371,11283,1377,11289,1380,11291,1387,11294,1391,11295,1399,11295,1403,11294,1410,11291,1413,11289,1419,11283,1421,11280,1424,11273,1425,11269,1425,11246xm1425,10556l1424,10552,1421,10545,1419,10542,1413,10536,1410,10534,1403,10531,1399,10530,1391,10530,1387,10531,1380,10534,1377,10536,1371,10542,1369,10545,1366,10552,1365,10556,1365,10575,1365,10579,1366,10583,1369,10590,1371,10593,1377,10599,1380,10601,1387,10604,1391,10605,1399,10605,1403,10604,1410,10601,1413,10599,1419,10593,1421,10590,1424,10583,1425,10579,1425,10556xm1425,8681l1424,8677,1421,8670,1419,8667,1413,8661,1410,8659,1403,8656,1399,8655,1391,8655,1387,8656,1380,8659,1377,8661,1371,8667,1369,8670,1366,8677,1365,8681,1365,8700,1365,8704,1366,8708,1369,8715,1371,8718,1377,8724,1380,8726,1387,8729,1391,8730,1399,8730,1403,8729,1410,8726,1413,8724,1419,8718,1421,8715,1424,8708,1425,8704,1425,8681xm1425,7991l1424,7987,1421,7980,1419,7977,1413,7971,1410,7969,1403,7966,1399,7965,1391,7965,1387,7966,1380,7969,1377,7971,1371,7977,1369,7980,1366,7987,1365,7991,1365,8010,1365,8014,1366,8018,1369,8025,1371,8028,1377,8034,1380,8036,1387,8039,1391,8040,1399,8040,1403,8039,1410,8036,1413,8034,1419,8028,1421,8025,1424,8018,1425,8014,1425,7991xm1425,7301l1424,7297,1421,7290,1419,7287,1413,7281,1410,7279,1403,7276,1399,7275,1391,7275,1387,7276,1380,7279,1377,7281,1371,7287,1369,7290,1366,7297,1365,7301,1365,7320,1365,7324,1366,7328,1369,7335,1371,7338,1377,7344,1380,7346,1387,7349,1391,7350,1399,7350,1403,7349,1410,7346,1413,7344,1419,7338,1421,7335,1424,7328,1425,7324,1425,7301xm9270,9975l8145,9975,8145,10140,9270,10140,9270,9975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006A5C"/>
          <w:spacing w:val="-2"/>
        </w:rPr>
        <w:t>Education</w:t>
      </w:r>
    </w:p>
    <w:p>
      <w:pPr>
        <w:pStyle w:val="Heading3"/>
        <w:spacing w:before="218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3"/>
        </w:rPr>
        <w:t> </w:t>
      </w:r>
      <w:r>
        <w:rPr>
          <w:rFonts w:ascii="Arial"/>
        </w:rPr>
        <w:t>of</w:t>
      </w:r>
      <w:r>
        <w:rPr>
          <w:rFonts w:ascii="Arial"/>
          <w:spacing w:val="-12"/>
        </w:rPr>
        <w:t> </w:t>
      </w:r>
      <w:r>
        <w:rPr>
          <w:rFonts w:ascii="Arial"/>
        </w:rPr>
        <w:t>Science</w:t>
      </w:r>
      <w:r>
        <w:rPr>
          <w:rFonts w:ascii="Arial"/>
          <w:spacing w:val="-12"/>
        </w:rPr>
        <w:t> </w:t>
      </w:r>
      <w:r>
        <w:rPr>
          <w:rFonts w:ascii="Arial"/>
        </w:rPr>
        <w:t>in</w:t>
      </w:r>
      <w:r>
        <w:rPr>
          <w:rFonts w:ascii="Arial"/>
          <w:spacing w:val="-12"/>
        </w:rPr>
        <w:t> </w:t>
      </w:r>
      <w:r>
        <w:rPr>
          <w:rFonts w:ascii="Arial"/>
        </w:rPr>
        <w:t>Environmental</w:t>
      </w:r>
      <w:r>
        <w:rPr>
          <w:rFonts w:ascii="Arial"/>
          <w:spacing w:val="-12"/>
        </w:rPr>
        <w:t> </w:t>
      </w:r>
      <w:r>
        <w:rPr>
          <w:rFonts w:ascii="Arial"/>
          <w:spacing w:val="-2"/>
        </w:rPr>
        <w:t>Design</w:t>
      </w:r>
    </w:p>
    <w:p>
      <w:pPr>
        <w:pStyle w:val="BodyText"/>
        <w:spacing w:before="92"/>
        <w:ind w:left="63"/>
      </w:pPr>
      <w:r>
        <w:rPr/>
        <w:t>Oregon</w:t>
      </w:r>
      <w:r>
        <w:rPr>
          <w:spacing w:val="3"/>
        </w:rPr>
        <w:t> </w:t>
      </w:r>
      <w:r>
        <w:rPr/>
        <w:t>State</w:t>
      </w:r>
      <w:r>
        <w:rPr>
          <w:spacing w:val="4"/>
        </w:rPr>
        <w:t> </w:t>
      </w:r>
      <w:r>
        <w:rPr/>
        <w:t>University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760" w:bottom="280" w:left="127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5"/>
      <w:ind w:left="1254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4"/>
      <w:ind w:left="63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2025-12-17T00:28:35Z</dcterms:created>
  <dcterms:modified xsi:type="dcterms:W3CDTF">2025-12-17T00:28:35Z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