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17A8E3"/>
          <w:w w:val="130"/>
        </w:rPr>
        <w:t>Logan</w:t>
      </w:r>
      <w:r>
        <w:rPr>
          <w:color w:val="17A8E3"/>
          <w:spacing w:val="22"/>
          <w:w w:val="130"/>
        </w:rPr>
        <w:t> </w:t>
      </w:r>
      <w:r>
        <w:rPr>
          <w:color w:val="17A8E3"/>
          <w:spacing w:val="-4"/>
          <w:w w:val="130"/>
        </w:rPr>
        <w:t>Hall</w:t>
      </w:r>
    </w:p>
    <w:p>
      <w:pPr>
        <w:pStyle w:val="BodyText"/>
        <w:spacing w:before="22"/>
        <w:rPr>
          <w:rFonts w:ascii="Calibri"/>
        </w:rPr>
      </w:pPr>
      <w:r>
        <w:rPr>
          <w:rFonts w:ascii="Calibri"/>
          <w:w w:val="130"/>
        </w:rPr>
        <w:t>Real</w:t>
      </w:r>
      <w:r>
        <w:rPr>
          <w:rFonts w:ascii="Calibri"/>
          <w:spacing w:val="-13"/>
          <w:w w:val="130"/>
        </w:rPr>
        <w:t> </w:t>
      </w:r>
      <w:r>
        <w:rPr>
          <w:rFonts w:ascii="Calibri"/>
          <w:w w:val="130"/>
        </w:rPr>
        <w:t>Estate</w:t>
      </w:r>
      <w:r>
        <w:rPr>
          <w:rFonts w:ascii="Calibri"/>
          <w:spacing w:val="-12"/>
          <w:w w:val="130"/>
        </w:rPr>
        <w:t> </w:t>
      </w:r>
      <w:r>
        <w:rPr>
          <w:rFonts w:ascii="Calibri"/>
          <w:spacing w:val="-2"/>
          <w:w w:val="130"/>
        </w:rPr>
        <w:t>Lawyer</w:t>
      </w:r>
    </w:p>
    <w:p>
      <w:pPr>
        <w:spacing w:line="295" w:lineRule="auto" w:before="139"/>
        <w:ind w:left="63" w:right="6376" w:firstLine="0"/>
        <w:jc w:val="left"/>
        <w:rPr>
          <w:sz w:val="22"/>
        </w:rPr>
      </w:pPr>
      <w:r>
        <w:rPr>
          <w:w w:val="105"/>
          <w:sz w:val="22"/>
        </w:rPr>
        <w:t>City, ST </w:t>
      </w:r>
      <w:hyperlink r:id="rId5">
        <w:r>
          <w:rPr>
            <w:spacing w:val="-2"/>
            <w:sz w:val="22"/>
          </w:rPr>
          <w:t>logan.hall@email.com</w:t>
        </w:r>
      </w:hyperlink>
    </w:p>
    <w:p>
      <w:pPr>
        <w:pStyle w:val="BodyText"/>
        <w:spacing w:before="242"/>
      </w:pPr>
      <w:r>
        <w:rPr/>
        <w:t>Real estate</w:t>
      </w:r>
      <w:r>
        <w:rPr>
          <w:spacing w:val="10"/>
        </w:rPr>
        <w:t> </w:t>
      </w:r>
      <w:r>
        <w:rPr/>
        <w:t>attorney</w:t>
      </w:r>
      <w:r>
        <w:rPr>
          <w:spacing w:val="-8"/>
        </w:rPr>
        <w:t> </w:t>
      </w:r>
      <w:r>
        <w:rPr/>
        <w:t>with</w:t>
      </w:r>
      <w:r>
        <w:rPr>
          <w:spacing w:val="9"/>
        </w:rPr>
        <w:t> </w:t>
      </w:r>
      <w:r>
        <w:rPr/>
        <w:t>experience</w:t>
      </w:r>
      <w:r>
        <w:rPr>
          <w:spacing w:val="10"/>
        </w:rPr>
        <w:t> </w:t>
      </w:r>
      <w:r>
        <w:rPr/>
        <w:t>in</w:t>
      </w:r>
      <w:r>
        <w:rPr>
          <w:spacing w:val="9"/>
        </w:rPr>
        <w:t> </w:t>
      </w:r>
      <w:r>
        <w:rPr/>
        <w:t>high-value</w:t>
      </w:r>
      <w:r>
        <w:rPr>
          <w:spacing w:val="10"/>
        </w:rPr>
        <w:t> </w:t>
      </w:r>
      <w:r>
        <w:rPr/>
        <w:t>property </w:t>
      </w:r>
      <w:r>
        <w:rPr>
          <w:spacing w:val="-2"/>
        </w:rPr>
        <w:t>transactions</w:t>
      </w:r>
    </w:p>
    <w:p>
      <w:pPr>
        <w:pStyle w:val="BodyText"/>
        <w:spacing w:line="276" w:lineRule="auto" w:before="164"/>
        <w:ind w:right="11"/>
      </w:pPr>
      <w:r>
        <w:rPr>
          <w:w w:val="105"/>
        </w:rPr>
        <w:t>Real</w:t>
      </w:r>
      <w:r>
        <w:rPr>
          <w:spacing w:val="-16"/>
          <w:w w:val="105"/>
        </w:rPr>
        <w:t> </w:t>
      </w:r>
      <w:r>
        <w:rPr>
          <w:w w:val="105"/>
        </w:rPr>
        <w:t>estate</w:t>
      </w:r>
      <w:r>
        <w:rPr>
          <w:spacing w:val="-10"/>
          <w:w w:val="105"/>
        </w:rPr>
        <w:t> </w:t>
      </w:r>
      <w:r>
        <w:rPr>
          <w:w w:val="105"/>
        </w:rPr>
        <w:t>lawyer</w:t>
      </w:r>
      <w:r>
        <w:rPr>
          <w:spacing w:val="-22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7</w:t>
      </w:r>
      <w:r>
        <w:rPr>
          <w:spacing w:val="-16"/>
          <w:w w:val="105"/>
        </w:rPr>
        <w:t> </w:t>
      </w:r>
      <w:r>
        <w:rPr>
          <w:w w:val="105"/>
        </w:rPr>
        <w:t>years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experience</w:t>
      </w:r>
      <w:r>
        <w:rPr>
          <w:spacing w:val="-10"/>
          <w:w w:val="105"/>
        </w:rPr>
        <w:t> </w:t>
      </w:r>
      <w:r>
        <w:rPr>
          <w:w w:val="105"/>
        </w:rPr>
        <w:t>representing</w:t>
      </w:r>
      <w:r>
        <w:rPr>
          <w:spacing w:val="-10"/>
          <w:w w:val="105"/>
        </w:rPr>
        <w:t> </w:t>
      </w:r>
      <w:r>
        <w:rPr>
          <w:w w:val="105"/>
        </w:rPr>
        <w:t>commercial</w:t>
      </w:r>
      <w:r>
        <w:rPr>
          <w:spacing w:val="-16"/>
          <w:w w:val="105"/>
        </w:rPr>
        <w:t> </w:t>
      </w:r>
      <w:r>
        <w:rPr>
          <w:w w:val="105"/>
        </w:rPr>
        <w:t>developers, </w:t>
      </w:r>
      <w:r>
        <w:rPr/>
        <w:t>investors, and lenders in property acquisitions, leases, and disputes. Expert in zoning </w:t>
      </w:r>
      <w:r>
        <w:rPr>
          <w:w w:val="105"/>
        </w:rPr>
        <w:t>laws and contract drafting.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1040" w:bottom="280" w:left="1275" w:right="1275"/>
        </w:sect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98"/>
        <w:rPr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0" w:after="0"/>
        <w:ind w:left="435" w:right="0" w:hanging="346"/>
        <w:jc w:val="left"/>
        <w:rPr>
          <w:b/>
          <w:sz w:val="22"/>
        </w:rPr>
      </w:pPr>
      <w:r>
        <w:rPr>
          <w:b/>
          <w:sz w:val="22"/>
        </w:rPr>
        <w:t>Property</w:t>
      </w:r>
      <w:r>
        <w:rPr>
          <w:b/>
          <w:spacing w:val="-3"/>
          <w:sz w:val="22"/>
        </w:rPr>
        <w:t> </w:t>
      </w:r>
      <w:r>
        <w:rPr>
          <w:b/>
          <w:spacing w:val="-5"/>
          <w:sz w:val="22"/>
        </w:rPr>
        <w:t>law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50" w:after="0"/>
        <w:ind w:left="435" w:right="0" w:hanging="346"/>
        <w:jc w:val="left"/>
        <w:rPr>
          <w:b/>
          <w:sz w:val="22"/>
        </w:rPr>
      </w:pPr>
      <w:r>
        <w:rPr>
          <w:b/>
          <w:w w:val="105"/>
          <w:sz w:val="22"/>
        </w:rPr>
        <w:t>Commercial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leasing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64" w:after="0"/>
        <w:ind w:left="435" w:right="0" w:hanging="346"/>
        <w:jc w:val="left"/>
        <w:rPr>
          <w:b/>
          <w:sz w:val="22"/>
        </w:rPr>
      </w:pPr>
      <w:r>
        <w:rPr>
          <w:b/>
          <w:sz w:val="22"/>
        </w:rPr>
        <w:t>Title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review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50" w:after="0"/>
        <w:ind w:left="435" w:right="0" w:hanging="346"/>
        <w:jc w:val="left"/>
        <w:rPr>
          <w:b/>
          <w:sz w:val="22"/>
        </w:rPr>
      </w:pPr>
      <w:r>
        <w:rPr>
          <w:b/>
          <w:w w:val="105"/>
          <w:sz w:val="22"/>
        </w:rPr>
        <w:t>Land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use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zoning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49" w:after="0"/>
        <w:ind w:left="435" w:right="0" w:hanging="346"/>
        <w:jc w:val="left"/>
        <w:rPr>
          <w:b/>
          <w:sz w:val="22"/>
        </w:rPr>
      </w:pPr>
      <w:r>
        <w:rPr>
          <w:b/>
          <w:w w:val="105"/>
          <w:sz w:val="22"/>
        </w:rPr>
        <w:t>Real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estate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litigation</w:t>
      </w:r>
    </w:p>
    <w:p>
      <w:pPr>
        <w:pStyle w:val="Heading2"/>
        <w:spacing w:before="181"/>
        <w:ind w:left="435"/>
        <w:jc w:val="left"/>
      </w:pPr>
      <w:r>
        <w:rPr>
          <w:b w:val="0"/>
        </w:rPr>
        <w:br w:type="column"/>
      </w:r>
      <w:r>
        <w:rPr>
          <w:color w:val="17A8E3"/>
          <w:w w:val="130"/>
        </w:rPr>
        <w:t>Key</w:t>
      </w:r>
      <w:r>
        <w:rPr>
          <w:color w:val="17A8E3"/>
          <w:spacing w:val="-10"/>
          <w:w w:val="130"/>
        </w:rPr>
        <w:t> </w:t>
      </w:r>
      <w:r>
        <w:rPr>
          <w:color w:val="17A8E3"/>
          <w:spacing w:val="-2"/>
          <w:w w:val="130"/>
        </w:rPr>
        <w:t>Skills</w:t>
      </w:r>
    </w:p>
    <w:p>
      <w:pPr>
        <w:pStyle w:val="Heading2"/>
        <w:spacing w:after="0"/>
        <w:jc w:val="left"/>
        <w:sectPr>
          <w:type w:val="continuous"/>
          <w:pgSz w:w="11920" w:h="16860"/>
          <w:pgMar w:top="1040" w:bottom="280" w:left="1275" w:right="1275"/>
          <w:cols w:num="2" w:equalWidth="0">
            <w:col w:w="2679" w:space="742"/>
            <w:col w:w="5949"/>
          </w:cols>
        </w:sectPr>
      </w:pPr>
    </w:p>
    <w:p>
      <w:pPr>
        <w:spacing w:before="222"/>
        <w:ind w:left="3" w:right="0" w:firstLine="0"/>
        <w:jc w:val="center"/>
        <w:rPr>
          <w:rFonts w:ascii="Calibri"/>
          <w:b/>
          <w:sz w:val="33"/>
        </w:rPr>
      </w:pPr>
      <w:r>
        <w:rPr>
          <w:rFonts w:ascii="Calibri"/>
          <w:b/>
          <w:color w:val="17A8E3"/>
          <w:w w:val="125"/>
          <w:sz w:val="33"/>
        </w:rPr>
        <w:t>Professional</w:t>
      </w:r>
      <w:r>
        <w:rPr>
          <w:rFonts w:ascii="Calibri"/>
          <w:b/>
          <w:color w:val="17A8E3"/>
          <w:spacing w:val="31"/>
          <w:w w:val="130"/>
          <w:sz w:val="33"/>
        </w:rPr>
        <w:t> </w:t>
      </w:r>
      <w:r>
        <w:rPr>
          <w:rFonts w:ascii="Calibri"/>
          <w:b/>
          <w:color w:val="17A8E3"/>
          <w:spacing w:val="-2"/>
          <w:w w:val="130"/>
          <w:sz w:val="33"/>
        </w:rPr>
        <w:t>Experience</w:t>
      </w:r>
    </w:p>
    <w:p>
      <w:pPr>
        <w:pStyle w:val="BodyText"/>
        <w:spacing w:before="107"/>
        <w:rPr>
          <w:rFonts w:ascii="Calibri"/>
        </w:rPr>
      </w:pPr>
      <w:r>
        <w:rPr>
          <w:rFonts w:ascii="Calibri"/>
          <w:w w:val="130"/>
        </w:rPr>
        <w:t>Real</w:t>
      </w:r>
      <w:r>
        <w:rPr>
          <w:rFonts w:ascii="Calibri"/>
          <w:spacing w:val="-13"/>
          <w:w w:val="130"/>
        </w:rPr>
        <w:t> </w:t>
      </w:r>
      <w:r>
        <w:rPr>
          <w:rFonts w:ascii="Calibri"/>
          <w:w w:val="130"/>
        </w:rPr>
        <w:t>Estate</w:t>
      </w:r>
      <w:r>
        <w:rPr>
          <w:rFonts w:ascii="Calibri"/>
          <w:spacing w:val="-12"/>
          <w:w w:val="130"/>
        </w:rPr>
        <w:t> </w:t>
      </w:r>
      <w:r>
        <w:rPr>
          <w:rFonts w:ascii="Calibri"/>
          <w:spacing w:val="-2"/>
          <w:w w:val="130"/>
        </w:rPr>
        <w:t>Counsel</w:t>
      </w:r>
    </w:p>
    <w:p>
      <w:pPr>
        <w:tabs>
          <w:tab w:pos="6953" w:val="left" w:leader="none"/>
        </w:tabs>
        <w:spacing w:before="94"/>
        <w:ind w:left="63" w:right="0" w:firstLine="0"/>
        <w:jc w:val="left"/>
        <w:rPr>
          <w:i/>
          <w:sz w:val="22"/>
        </w:rPr>
      </w:pPr>
      <w:r>
        <w:rPr>
          <w:i/>
          <w:spacing w:val="-8"/>
          <w:sz w:val="22"/>
        </w:rPr>
        <w:t>Metro</w:t>
      </w:r>
      <w:r>
        <w:rPr>
          <w:i/>
          <w:spacing w:val="-12"/>
          <w:sz w:val="22"/>
        </w:rPr>
        <w:t> </w:t>
      </w:r>
      <w:r>
        <w:rPr>
          <w:i/>
          <w:spacing w:val="-8"/>
          <w:sz w:val="22"/>
        </w:rPr>
        <w:t>Title</w:t>
      </w:r>
      <w:r>
        <w:rPr>
          <w:i/>
          <w:spacing w:val="-4"/>
          <w:sz w:val="22"/>
        </w:rPr>
        <w:t> </w:t>
      </w:r>
      <w:r>
        <w:rPr>
          <w:i/>
          <w:spacing w:val="-8"/>
          <w:sz w:val="22"/>
        </w:rPr>
        <w:t>Group,</w:t>
      </w:r>
      <w:r>
        <w:rPr>
          <w:i/>
          <w:spacing w:val="-10"/>
          <w:sz w:val="22"/>
        </w:rPr>
        <w:t> </w:t>
      </w:r>
      <w:r>
        <w:rPr>
          <w:i/>
          <w:spacing w:val="-8"/>
          <w:sz w:val="22"/>
        </w:rPr>
        <w:t>Austin,</w:t>
      </w:r>
      <w:r>
        <w:rPr>
          <w:i/>
          <w:spacing w:val="-11"/>
          <w:sz w:val="22"/>
        </w:rPr>
        <w:t> </w:t>
      </w:r>
      <w:r>
        <w:rPr>
          <w:i/>
          <w:spacing w:val="-8"/>
          <w:sz w:val="22"/>
        </w:rPr>
        <w:t>TX</w:t>
      </w:r>
      <w:r>
        <w:rPr>
          <w:i/>
          <w:sz w:val="22"/>
        </w:rPr>
        <w:tab/>
        <w:t>February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68" w:lineRule="auto" w:before="135" w:after="0"/>
        <w:ind w:left="435" w:right="251" w:hanging="346"/>
        <w:jc w:val="left"/>
        <w:rPr>
          <w:sz w:val="22"/>
        </w:rPr>
      </w:pPr>
      <w:r>
        <w:rPr>
          <w:w w:val="105"/>
          <w:sz w:val="22"/>
        </w:rPr>
        <w:t>Draft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negotiate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purchase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lease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agreements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multi-million-dollar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property </w:t>
      </w:r>
      <w:r>
        <w:rPr>
          <w:spacing w:val="-2"/>
          <w:w w:val="105"/>
          <w:sz w:val="22"/>
        </w:rPr>
        <w:t>deals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3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Advise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on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zoning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permitting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issues,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helping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clients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reduce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project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delays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20"/>
          <w:w w:val="105"/>
          <w:sz w:val="22"/>
        </w:rPr>
        <w:t> </w:t>
      </w:r>
      <w:r>
        <w:rPr>
          <w:spacing w:val="-5"/>
          <w:w w:val="105"/>
          <w:sz w:val="22"/>
        </w:rPr>
        <w:t>30%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4" w:after="0"/>
        <w:ind w:left="435" w:right="0" w:hanging="346"/>
        <w:jc w:val="left"/>
        <w:rPr>
          <w:sz w:val="22"/>
        </w:rPr>
      </w:pPr>
      <w:r>
        <w:rPr>
          <w:sz w:val="22"/>
        </w:rPr>
        <w:t>Review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7"/>
          <w:sz w:val="22"/>
        </w:rPr>
        <w:t> </w:t>
      </w:r>
      <w:r>
        <w:rPr>
          <w:sz w:val="22"/>
        </w:rPr>
        <w:t>clear title</w:t>
      </w:r>
      <w:r>
        <w:rPr>
          <w:spacing w:val="6"/>
          <w:sz w:val="22"/>
        </w:rPr>
        <w:t> </w:t>
      </w:r>
      <w:r>
        <w:rPr>
          <w:sz w:val="22"/>
        </w:rPr>
        <w:t>issues</w:t>
      </w:r>
      <w:r>
        <w:rPr>
          <w:spacing w:val="7"/>
          <w:sz w:val="22"/>
        </w:rPr>
        <w:t> </w:t>
      </w:r>
      <w:r>
        <w:rPr>
          <w:sz w:val="22"/>
        </w:rPr>
        <w:t>for </w:t>
      </w:r>
      <w:r>
        <w:rPr>
          <w:spacing w:val="-2"/>
          <w:sz w:val="22"/>
        </w:rPr>
        <w:t>closings</w:t>
      </w:r>
    </w:p>
    <w:p>
      <w:pPr>
        <w:pStyle w:val="BodyText"/>
        <w:spacing w:before="177"/>
        <w:rPr>
          <w:rFonts w:ascii="Calibri" w:hAnsi="Calibri"/>
        </w:rPr>
      </w:pPr>
      <w:r>
        <w:rPr>
          <w:rFonts w:ascii="Calibri" w:hAnsi="Calibri"/>
          <w:w w:val="125"/>
        </w:rPr>
        <w:t>Associate</w:t>
      </w:r>
      <w:r>
        <w:rPr>
          <w:rFonts w:ascii="Calibri" w:hAnsi="Calibri"/>
          <w:spacing w:val="6"/>
          <w:w w:val="125"/>
        </w:rPr>
        <w:t> </w:t>
      </w:r>
      <w:r>
        <w:rPr>
          <w:rFonts w:ascii="Calibri" w:hAnsi="Calibri"/>
          <w:w w:val="125"/>
        </w:rPr>
        <w:t>Attorney</w:t>
      </w:r>
      <w:r>
        <w:rPr>
          <w:rFonts w:ascii="Calibri" w:hAnsi="Calibri"/>
          <w:spacing w:val="7"/>
          <w:w w:val="125"/>
        </w:rPr>
        <w:t> </w:t>
      </w:r>
      <w:r>
        <w:rPr>
          <w:rFonts w:ascii="Calibri" w:hAnsi="Calibri"/>
          <w:w w:val="125"/>
        </w:rPr>
        <w:t>–</w:t>
      </w:r>
      <w:r>
        <w:rPr>
          <w:rFonts w:ascii="Calibri" w:hAnsi="Calibri"/>
          <w:spacing w:val="6"/>
          <w:w w:val="125"/>
        </w:rPr>
        <w:t> </w:t>
      </w:r>
      <w:r>
        <w:rPr>
          <w:rFonts w:ascii="Calibri" w:hAnsi="Calibri"/>
          <w:w w:val="125"/>
        </w:rPr>
        <w:t>Real</w:t>
      </w:r>
      <w:r>
        <w:rPr>
          <w:rFonts w:ascii="Calibri" w:hAnsi="Calibri"/>
          <w:spacing w:val="7"/>
          <w:w w:val="125"/>
        </w:rPr>
        <w:t> </w:t>
      </w:r>
      <w:r>
        <w:rPr>
          <w:rFonts w:ascii="Calibri" w:hAnsi="Calibri"/>
          <w:w w:val="125"/>
        </w:rPr>
        <w:t>Estate</w:t>
      </w:r>
      <w:r>
        <w:rPr>
          <w:rFonts w:ascii="Calibri" w:hAnsi="Calibri"/>
          <w:spacing w:val="6"/>
          <w:w w:val="125"/>
        </w:rPr>
        <w:t> </w:t>
      </w:r>
      <w:r>
        <w:rPr>
          <w:rFonts w:ascii="Calibri" w:hAnsi="Calibri"/>
          <w:spacing w:val="-5"/>
          <w:w w:val="125"/>
        </w:rPr>
        <w:t>Law</w:t>
      </w:r>
    </w:p>
    <w:p>
      <w:pPr>
        <w:tabs>
          <w:tab w:pos="6564" w:val="left" w:leader="none"/>
        </w:tabs>
        <w:spacing w:before="94"/>
        <w:ind w:left="63" w:right="0" w:firstLine="0"/>
        <w:jc w:val="left"/>
        <w:rPr>
          <w:i/>
          <w:sz w:val="22"/>
        </w:rPr>
      </w:pPr>
      <w:r>
        <w:rPr>
          <w:i/>
          <w:sz w:val="22"/>
        </w:rPr>
        <w:t>Nelson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&amp;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Beck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LLP,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Austin,</w:t>
      </w:r>
      <w:r>
        <w:rPr>
          <w:i/>
          <w:spacing w:val="-18"/>
          <w:sz w:val="22"/>
        </w:rPr>
        <w:t> </w:t>
      </w:r>
      <w:r>
        <w:rPr>
          <w:i/>
          <w:spacing w:val="-5"/>
          <w:sz w:val="22"/>
        </w:rPr>
        <w:t>TX</w:t>
      </w:r>
      <w:r>
        <w:rPr>
          <w:i/>
          <w:sz w:val="22"/>
        </w:rPr>
        <w:tab/>
        <w:t>August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80" w:lineRule="auto" w:before="120" w:after="0"/>
        <w:ind w:left="435" w:right="1219" w:hanging="346"/>
        <w:jc w:val="left"/>
        <w:rPr>
          <w:sz w:val="22"/>
        </w:rPr>
      </w:pPr>
      <w:r>
        <w:rPr>
          <w:w w:val="105"/>
          <w:sz w:val="22"/>
        </w:rPr>
        <w:t>Represented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landlords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tenants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lease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negotiations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housing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court </w:t>
      </w:r>
      <w:r>
        <w:rPr>
          <w:spacing w:val="-2"/>
          <w:w w:val="105"/>
          <w:sz w:val="22"/>
        </w:rPr>
        <w:t>proceedings</w:t>
      </w:r>
    </w:p>
    <w:p>
      <w:pPr>
        <w:pStyle w:val="Heading2"/>
      </w:pPr>
      <w:r>
        <w:rPr>
          <w:color w:val="17A8E3"/>
          <w:spacing w:val="-2"/>
          <w:w w:val="130"/>
        </w:rPr>
        <w:t>Education</w:t>
      </w:r>
    </w:p>
    <w:p>
      <w:pPr>
        <w:pStyle w:val="BodyText"/>
        <w:spacing w:before="107"/>
        <w:rPr>
          <w:rFonts w:ascii="Calibri"/>
        </w:rPr>
      </w:pPr>
      <w:r>
        <w:rPr>
          <w:rFonts w:ascii="Calibri"/>
          <w:w w:val="130"/>
        </w:rPr>
        <w:t>Juris</w:t>
      </w:r>
      <w:r>
        <w:rPr>
          <w:rFonts w:ascii="Calibri"/>
          <w:spacing w:val="-2"/>
          <w:w w:val="130"/>
        </w:rPr>
        <w:t> </w:t>
      </w:r>
      <w:r>
        <w:rPr>
          <w:rFonts w:ascii="Calibri"/>
          <w:w w:val="130"/>
        </w:rPr>
        <w:t>Doctor</w:t>
      </w:r>
      <w:r>
        <w:rPr>
          <w:rFonts w:ascii="Calibri"/>
          <w:spacing w:val="-2"/>
          <w:w w:val="130"/>
        </w:rPr>
        <w:t> (J.D.)</w:t>
      </w:r>
    </w:p>
    <w:p>
      <w:pPr>
        <w:spacing w:before="95"/>
        <w:ind w:left="63" w:right="0" w:firstLine="0"/>
        <w:jc w:val="left"/>
        <w:rPr>
          <w:sz w:val="22"/>
        </w:rPr>
      </w:pPr>
      <w:r>
        <w:rPr>
          <w:sz w:val="22"/>
        </w:rPr>
        <w:t>University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8"/>
          <w:sz w:val="22"/>
        </w:rPr>
        <w:t> </w:t>
      </w:r>
      <w:r>
        <w:rPr>
          <w:sz w:val="22"/>
        </w:rPr>
        <w:t>Texas</w:t>
      </w:r>
      <w:r>
        <w:rPr>
          <w:spacing w:val="6"/>
          <w:sz w:val="22"/>
        </w:rPr>
        <w:t> </w:t>
      </w:r>
      <w:r>
        <w:rPr>
          <w:sz w:val="22"/>
        </w:rPr>
        <w:t>School</w:t>
      </w:r>
      <w:r>
        <w:rPr>
          <w:spacing w:val="-4"/>
          <w:sz w:val="22"/>
        </w:rPr>
        <w:t> </w:t>
      </w:r>
      <w:r>
        <w:rPr>
          <w:sz w:val="22"/>
        </w:rPr>
        <w:t>of Law</w:t>
      </w:r>
      <w:r>
        <w:rPr>
          <w:spacing w:val="-2"/>
          <w:sz w:val="22"/>
        </w:rPr>
        <w:t> </w:t>
      </w:r>
      <w:r>
        <w:rPr>
          <w:w w:val="85"/>
          <w:sz w:val="22"/>
        </w:rPr>
        <w:t>|</w:t>
      </w:r>
      <w:r>
        <w:rPr>
          <w:spacing w:val="5"/>
          <w:sz w:val="22"/>
        </w:rPr>
        <w:t> </w:t>
      </w:r>
      <w:r>
        <w:rPr>
          <w:spacing w:val="-4"/>
          <w:sz w:val="22"/>
        </w:rPr>
        <w:t>2016</w:t>
      </w:r>
    </w:p>
    <w:p>
      <w:pPr>
        <w:pStyle w:val="BodyText"/>
        <w:spacing w:before="221"/>
        <w:rPr>
          <w:rFonts w:ascii="Calibri"/>
        </w:rPr>
      </w:pPr>
      <w:r>
        <w:rPr>
          <w:rFonts w:ascii="Calibri"/>
          <w:w w:val="130"/>
        </w:rPr>
        <w:t>Bachelor</w:t>
      </w:r>
      <w:r>
        <w:rPr>
          <w:rFonts w:ascii="Calibri"/>
          <w:spacing w:val="-14"/>
          <w:w w:val="130"/>
        </w:rPr>
        <w:t> </w:t>
      </w:r>
      <w:r>
        <w:rPr>
          <w:rFonts w:ascii="Calibri"/>
          <w:w w:val="130"/>
        </w:rPr>
        <w:t>of</w:t>
      </w:r>
      <w:r>
        <w:rPr>
          <w:rFonts w:ascii="Calibri"/>
          <w:spacing w:val="-13"/>
          <w:w w:val="130"/>
        </w:rPr>
        <w:t> </w:t>
      </w:r>
      <w:r>
        <w:rPr>
          <w:rFonts w:ascii="Calibri"/>
          <w:w w:val="130"/>
        </w:rPr>
        <w:t>Arts</w:t>
      </w:r>
      <w:r>
        <w:rPr>
          <w:rFonts w:ascii="Calibri"/>
          <w:spacing w:val="-14"/>
          <w:w w:val="130"/>
        </w:rPr>
        <w:t> </w:t>
      </w:r>
      <w:r>
        <w:rPr>
          <w:rFonts w:ascii="Calibri"/>
          <w:w w:val="130"/>
        </w:rPr>
        <w:t>in</w:t>
      </w:r>
      <w:r>
        <w:rPr>
          <w:rFonts w:ascii="Calibri"/>
          <w:spacing w:val="-13"/>
          <w:w w:val="130"/>
        </w:rPr>
        <w:t> </w:t>
      </w:r>
      <w:r>
        <w:rPr>
          <w:rFonts w:ascii="Calibri"/>
          <w:w w:val="130"/>
        </w:rPr>
        <w:t>Urban</w:t>
      </w:r>
      <w:r>
        <w:rPr>
          <w:rFonts w:ascii="Calibri"/>
          <w:spacing w:val="-14"/>
          <w:w w:val="130"/>
        </w:rPr>
        <w:t> </w:t>
      </w:r>
      <w:r>
        <w:rPr>
          <w:rFonts w:ascii="Calibri"/>
          <w:spacing w:val="-2"/>
          <w:w w:val="130"/>
        </w:rPr>
        <w:t>Planning</w:t>
      </w:r>
    </w:p>
    <w:p>
      <w:pPr>
        <w:spacing w:before="95"/>
        <w:ind w:left="63" w:right="0" w:firstLine="0"/>
        <w:jc w:val="left"/>
        <w:rPr>
          <w:sz w:val="22"/>
        </w:rPr>
      </w:pPr>
      <w:r>
        <w:rPr>
          <w:sz w:val="22"/>
        </w:rPr>
        <w:t>Texas</w:t>
      </w:r>
      <w:r>
        <w:rPr>
          <w:spacing w:val="-9"/>
          <w:sz w:val="22"/>
        </w:rPr>
        <w:t> </w:t>
      </w:r>
      <w:r>
        <w:rPr>
          <w:sz w:val="22"/>
        </w:rPr>
        <w:t>A&amp;M</w:t>
      </w:r>
      <w:r>
        <w:rPr>
          <w:spacing w:val="-1"/>
          <w:sz w:val="22"/>
        </w:rPr>
        <w:t> </w:t>
      </w:r>
      <w:r>
        <w:rPr>
          <w:sz w:val="22"/>
        </w:rPr>
        <w:t>University</w:t>
      </w:r>
      <w:r>
        <w:rPr>
          <w:spacing w:val="-7"/>
          <w:sz w:val="22"/>
        </w:rPr>
        <w:t> </w:t>
      </w:r>
      <w:r>
        <w:rPr>
          <w:w w:val="85"/>
          <w:sz w:val="22"/>
        </w:rPr>
        <w:t>|</w:t>
      </w:r>
      <w:r>
        <w:rPr>
          <w:spacing w:val="-1"/>
          <w:sz w:val="22"/>
        </w:rPr>
        <w:t> </w:t>
      </w:r>
      <w:r>
        <w:rPr>
          <w:spacing w:val="-4"/>
          <w:sz w:val="22"/>
        </w:rPr>
        <w:t>2012</w:t>
      </w:r>
    </w:p>
    <w:sectPr>
      <w:type w:val="continuous"/>
      <w:pgSz w:w="11920" w:h="16860"/>
      <w:pgMar w:top="10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3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7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1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35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9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83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07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30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63"/>
      <w:outlineLvl w:val="1"/>
    </w:pPr>
    <w:rPr>
      <w:rFonts w:ascii="Calibri" w:hAnsi="Calibri" w:eastAsia="Calibri" w:cs="Calibri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9"/>
      <w:ind w:left="3"/>
      <w:jc w:val="center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0"/>
      <w:ind w:left="435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2025-12-20T22:01:26Z</dcterms:created>
  <dcterms:modified xsi:type="dcterms:W3CDTF">2025-12-20T22:01:26Z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