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98B78"/>
          <w:w w:val="130"/>
        </w:rPr>
        <w:t>Sam</w:t>
      </w:r>
      <w:r>
        <w:rPr>
          <w:color w:val="F98B78"/>
          <w:spacing w:val="-10"/>
          <w:w w:val="130"/>
        </w:rPr>
        <w:t> </w:t>
      </w:r>
      <w:r>
        <w:rPr>
          <w:color w:val="F98B78"/>
          <w:spacing w:val="-2"/>
          <w:w w:val="130"/>
        </w:rPr>
        <w:t>Wright</w:t>
      </w:r>
    </w:p>
    <w:p>
      <w:pPr>
        <w:spacing w:before="48"/>
        <w:ind w:left="63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pacing w:val="-2"/>
          <w:w w:val="135"/>
          <w:sz w:val="16"/>
        </w:rPr>
        <w:t>Freelance</w:t>
      </w:r>
      <w:r>
        <w:rPr>
          <w:rFonts w:ascii="Calibri"/>
          <w:b/>
          <w:spacing w:val="-1"/>
          <w:w w:val="135"/>
          <w:sz w:val="16"/>
        </w:rPr>
        <w:t> </w:t>
      </w:r>
      <w:r>
        <w:rPr>
          <w:rFonts w:ascii="Calibri"/>
          <w:b/>
          <w:spacing w:val="-2"/>
          <w:w w:val="135"/>
          <w:sz w:val="16"/>
        </w:rPr>
        <w:t>Architect</w:t>
      </w:r>
    </w:p>
    <w:p>
      <w:pPr>
        <w:pStyle w:val="BodyText"/>
        <w:spacing w:line="295" w:lineRule="auto" w:before="126"/>
        <w:ind w:left="63" w:right="4042" w:firstLine="0"/>
      </w:pPr>
      <w:r>
        <w:rPr/>
        <w:t>San Francisco, CA </w:t>
      </w:r>
      <w:r>
        <w:rPr>
          <w:w w:val="85"/>
        </w:rPr>
        <w:t>| </w:t>
      </w:r>
      <w:r>
        <w:rPr/>
        <w:t>000-000-0000</w:t>
      </w:r>
      <w:r>
        <w:rPr>
          <w:spacing w:val="40"/>
        </w:rPr>
        <w:t> </w:t>
      </w:r>
      <w:hyperlink r:id="rId5">
        <w:r>
          <w:rPr>
            <w:spacing w:val="-2"/>
          </w:rPr>
          <w:t>email@example.com</w:t>
        </w:r>
      </w:hyperlink>
    </w:p>
    <w:p>
      <w:pPr>
        <w:spacing w:line="280" w:lineRule="auto" w:before="181"/>
        <w:ind w:left="63" w:right="619" w:firstLine="0"/>
        <w:jc w:val="left"/>
        <w:rPr>
          <w:b/>
          <w:sz w:val="22"/>
        </w:rPr>
      </w:pPr>
      <w:r>
        <w:rPr>
          <w:b/>
          <w:w w:val="105"/>
          <w:sz w:val="22"/>
        </w:rPr>
        <w:t>Sustainable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design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Architect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dedicated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to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high-performance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buildings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green </w:t>
      </w:r>
      <w:r>
        <w:rPr>
          <w:b/>
          <w:spacing w:val="-2"/>
          <w:w w:val="105"/>
          <w:sz w:val="22"/>
        </w:rPr>
        <w:t>certifications</w:t>
      </w:r>
    </w:p>
    <w:p>
      <w:pPr>
        <w:spacing w:line="280" w:lineRule="auto" w:before="107"/>
        <w:ind w:left="63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Architect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10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years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of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experience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focusing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on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net-zero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energy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buildings,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LEED-</w:t>
      </w:r>
      <w:r>
        <w:rPr>
          <w:b/>
          <w:spacing w:val="-2"/>
          <w:w w:val="105"/>
          <w:sz w:val="22"/>
        </w:rPr>
        <w:t>certified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projects,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environmentally</w:t>
      </w:r>
      <w:r>
        <w:rPr>
          <w:b/>
          <w:spacing w:val="-13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conscious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design.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Passionate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about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creating </w:t>
      </w:r>
      <w:r>
        <w:rPr>
          <w:b/>
          <w:w w:val="105"/>
          <w:sz w:val="22"/>
        </w:rPr>
        <w:t>structures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that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reduce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carbon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impact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improve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occupant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health.</w:t>
      </w:r>
    </w:p>
    <w:p>
      <w:pPr>
        <w:pStyle w:val="Heading2"/>
      </w:pPr>
      <w:r>
        <w:rPr>
          <w:color w:val="F98B78"/>
          <w:w w:val="130"/>
        </w:rPr>
        <w:t>Key</w:t>
      </w:r>
      <w:r>
        <w:rPr>
          <w:color w:val="F98B78"/>
          <w:spacing w:val="-17"/>
          <w:w w:val="130"/>
        </w:rPr>
        <w:t> </w:t>
      </w:r>
      <w:r>
        <w:rPr>
          <w:color w:val="F98B78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28" w:after="0"/>
        <w:ind w:left="435" w:right="0" w:hanging="346"/>
        <w:jc w:val="left"/>
        <w:rPr>
          <w:b/>
          <w:sz w:val="22"/>
        </w:rPr>
      </w:pPr>
      <w:r>
        <w:rPr>
          <w:b/>
          <w:w w:val="105"/>
          <w:sz w:val="22"/>
        </w:rPr>
        <w:t>Daylighting </w:t>
      </w:r>
      <w:r>
        <w:rPr>
          <w:b/>
          <w:spacing w:val="-2"/>
          <w:w w:val="105"/>
          <w:sz w:val="22"/>
        </w:rPr>
        <w:t>design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50" w:after="0"/>
        <w:ind w:left="435" w:right="0" w:hanging="346"/>
        <w:jc w:val="left"/>
        <w:rPr>
          <w:b/>
          <w:sz w:val="22"/>
        </w:rPr>
      </w:pPr>
      <w:r>
        <w:rPr>
          <w:b/>
          <w:w w:val="105"/>
          <w:sz w:val="22"/>
        </w:rPr>
        <w:t>Energy</w:t>
      </w:r>
      <w:r>
        <w:rPr>
          <w:b/>
          <w:spacing w:val="-1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modeling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64" w:after="0"/>
        <w:ind w:left="435" w:right="0" w:hanging="346"/>
        <w:jc w:val="left"/>
        <w:rPr>
          <w:b/>
          <w:sz w:val="22"/>
        </w:rPr>
      </w:pPr>
      <w:r>
        <w:rPr>
          <w:b/>
          <w:sz w:val="22"/>
        </w:rPr>
        <w:t>Green</w:t>
      </w:r>
      <w:r>
        <w:rPr>
          <w:b/>
          <w:spacing w:val="20"/>
          <w:sz w:val="22"/>
        </w:rPr>
        <w:t> </w:t>
      </w:r>
      <w:r>
        <w:rPr>
          <w:b/>
          <w:sz w:val="22"/>
        </w:rPr>
        <w:t>building</w:t>
      </w:r>
      <w:r>
        <w:rPr>
          <w:b/>
          <w:spacing w:val="21"/>
          <w:sz w:val="22"/>
        </w:rPr>
        <w:t> </w:t>
      </w:r>
      <w:r>
        <w:rPr>
          <w:b/>
          <w:spacing w:val="-2"/>
          <w:sz w:val="2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50" w:after="0"/>
        <w:ind w:left="435" w:right="0" w:hanging="346"/>
        <w:jc w:val="left"/>
        <w:rPr>
          <w:b/>
          <w:sz w:val="22"/>
        </w:rPr>
      </w:pPr>
      <w:r>
        <w:rPr>
          <w:b/>
          <w:w w:val="105"/>
          <w:sz w:val="22"/>
        </w:rPr>
        <w:t>LEED</w:t>
      </w:r>
      <w:r>
        <w:rPr>
          <w:b/>
          <w:spacing w:val="-1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50" w:after="0"/>
        <w:ind w:left="435" w:right="0" w:hanging="346"/>
        <w:jc w:val="left"/>
        <w:rPr>
          <w:b/>
          <w:sz w:val="22"/>
        </w:rPr>
      </w:pPr>
      <w:r>
        <w:rPr>
          <w:b/>
          <w:w w:val="105"/>
          <w:sz w:val="22"/>
        </w:rPr>
        <w:t>Low-carbon</w:t>
      </w:r>
      <w:r>
        <w:rPr>
          <w:b/>
          <w:spacing w:val="-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materials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49" w:after="0"/>
        <w:ind w:left="435" w:right="0" w:hanging="346"/>
        <w:jc w:val="left"/>
        <w:rPr>
          <w:b/>
          <w:sz w:val="22"/>
        </w:rPr>
      </w:pPr>
      <w:r>
        <w:rPr>
          <w:b/>
          <w:sz w:val="22"/>
        </w:rPr>
        <w:t>Net-zero</w:t>
      </w:r>
      <w:r>
        <w:rPr>
          <w:b/>
          <w:spacing w:val="11"/>
          <w:sz w:val="22"/>
        </w:rPr>
        <w:t> </w:t>
      </w:r>
      <w:r>
        <w:rPr>
          <w:b/>
          <w:spacing w:val="-2"/>
          <w:sz w:val="22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65" w:after="0"/>
        <w:ind w:left="435" w:right="0" w:hanging="346"/>
        <w:jc w:val="left"/>
        <w:rPr>
          <w:b/>
          <w:sz w:val="22"/>
        </w:rPr>
      </w:pPr>
      <w:r>
        <w:rPr>
          <w:b/>
          <w:spacing w:val="-2"/>
          <w:sz w:val="22"/>
        </w:rPr>
        <w:t>Revit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49" w:after="0"/>
        <w:ind w:left="435" w:right="0" w:hanging="346"/>
        <w:jc w:val="left"/>
        <w:rPr>
          <w:b/>
          <w:sz w:val="22"/>
        </w:rPr>
      </w:pPr>
      <w:r>
        <w:rPr>
          <w:b/>
          <w:spacing w:val="-2"/>
          <w:w w:val="105"/>
          <w:sz w:val="22"/>
        </w:rPr>
        <w:t>Thermal</w:t>
      </w:r>
      <w:r>
        <w:rPr>
          <w:b/>
          <w:spacing w:val="-1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envelope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detailing</w:t>
      </w:r>
    </w:p>
    <w:p>
      <w:pPr>
        <w:pStyle w:val="Heading2"/>
        <w:spacing w:before="229"/>
      </w:pPr>
      <w:r>
        <w:rPr>
          <w:color w:val="F98B78"/>
          <w:w w:val="125"/>
        </w:rPr>
        <w:t>Professional</w:t>
      </w:r>
      <w:r>
        <w:rPr>
          <w:color w:val="F98B78"/>
          <w:spacing w:val="10"/>
          <w:w w:val="125"/>
        </w:rPr>
        <w:t> </w:t>
      </w:r>
      <w:r>
        <w:rPr>
          <w:color w:val="F98B78"/>
          <w:spacing w:val="-2"/>
          <w:w w:val="125"/>
        </w:rPr>
        <w:t>Experience</w:t>
      </w:r>
    </w:p>
    <w:p>
      <w:pPr>
        <w:spacing w:before="123"/>
        <w:ind w:left="63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w w:val="130"/>
          <w:sz w:val="16"/>
        </w:rPr>
        <w:t>Sustainability</w:t>
      </w:r>
      <w:r>
        <w:rPr>
          <w:rFonts w:ascii="Calibri"/>
          <w:b/>
          <w:spacing w:val="7"/>
          <w:w w:val="135"/>
          <w:sz w:val="16"/>
        </w:rPr>
        <w:t> </w:t>
      </w:r>
      <w:r>
        <w:rPr>
          <w:rFonts w:ascii="Calibri"/>
          <w:b/>
          <w:spacing w:val="-2"/>
          <w:w w:val="135"/>
          <w:sz w:val="16"/>
        </w:rPr>
        <w:t>Architect</w:t>
      </w:r>
    </w:p>
    <w:p>
      <w:pPr>
        <w:tabs>
          <w:tab w:pos="7364" w:val="left" w:leader="none"/>
        </w:tabs>
        <w:spacing w:before="65"/>
        <w:ind w:left="63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Greenform</w:t>
      </w:r>
      <w:r>
        <w:rPr>
          <w:i/>
          <w:spacing w:val="-5"/>
          <w:sz w:val="22"/>
        </w:rPr>
        <w:t> </w:t>
      </w:r>
      <w:r>
        <w:rPr>
          <w:i/>
          <w:spacing w:val="-2"/>
          <w:sz w:val="22"/>
        </w:rPr>
        <w:t>Group,</w:t>
      </w:r>
      <w:r>
        <w:rPr>
          <w:i/>
          <w:spacing w:val="-4"/>
          <w:sz w:val="22"/>
        </w:rPr>
        <w:t> </w:t>
      </w:r>
      <w:r>
        <w:rPr>
          <w:i/>
          <w:spacing w:val="-2"/>
          <w:sz w:val="22"/>
        </w:rPr>
        <w:t>San</w:t>
      </w:r>
      <w:r>
        <w:rPr>
          <w:i/>
          <w:spacing w:val="-4"/>
          <w:sz w:val="22"/>
        </w:rPr>
        <w:t> </w:t>
      </w:r>
      <w:r>
        <w:rPr>
          <w:i/>
          <w:spacing w:val="-2"/>
          <w:sz w:val="22"/>
        </w:rPr>
        <w:t>Francisco,</w:t>
      </w:r>
      <w:r>
        <w:rPr>
          <w:i/>
          <w:spacing w:val="-4"/>
          <w:sz w:val="22"/>
        </w:rPr>
        <w:t> </w:t>
      </w:r>
      <w:r>
        <w:rPr>
          <w:i/>
          <w:spacing w:val="-5"/>
          <w:sz w:val="22"/>
        </w:rPr>
        <w:t>CA</w:t>
      </w:r>
      <w:r>
        <w:rPr>
          <w:i/>
          <w:sz w:val="22"/>
        </w:rPr>
        <w:tab/>
        <w:t>June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2016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7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80" w:lineRule="auto" w:before="135" w:after="0"/>
        <w:ind w:left="435" w:right="1143" w:hanging="346"/>
        <w:jc w:val="left"/>
        <w:rPr>
          <w:sz w:val="22"/>
        </w:rPr>
      </w:pPr>
      <w:r>
        <w:rPr>
          <w:sz w:val="22"/>
        </w:rPr>
        <w:t>Contributed to over 25 LEED-certified projects, including five LEED Platinum commercial</w:t>
      </w:r>
      <w:r>
        <w:rPr>
          <w:spacing w:val="-8"/>
          <w:sz w:val="22"/>
        </w:rPr>
        <w:t> </w:t>
      </w:r>
      <w:r>
        <w:rPr>
          <w:sz w:val="22"/>
        </w:rPr>
        <w:t>buildings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92" w:after="0"/>
        <w:ind w:left="435" w:right="0" w:hanging="346"/>
        <w:jc w:val="left"/>
        <w:rPr>
          <w:sz w:val="22"/>
        </w:rPr>
      </w:pPr>
      <w:r>
        <w:rPr>
          <w:sz w:val="22"/>
        </w:rPr>
        <w:t>Integrated</w:t>
      </w:r>
      <w:r>
        <w:rPr>
          <w:spacing w:val="29"/>
          <w:sz w:val="22"/>
        </w:rPr>
        <w:t> </w:t>
      </w:r>
      <w:r>
        <w:rPr>
          <w:sz w:val="22"/>
        </w:rPr>
        <w:t>passive</w:t>
      </w:r>
      <w:r>
        <w:rPr>
          <w:spacing w:val="29"/>
          <w:sz w:val="22"/>
        </w:rPr>
        <w:t> </w:t>
      </w:r>
      <w:r>
        <w:rPr>
          <w:sz w:val="22"/>
        </w:rPr>
        <w:t>design</w:t>
      </w:r>
      <w:r>
        <w:rPr>
          <w:spacing w:val="29"/>
          <w:sz w:val="22"/>
        </w:rPr>
        <w:t> </w:t>
      </w:r>
      <w:r>
        <w:rPr>
          <w:sz w:val="22"/>
        </w:rPr>
        <w:t>strategies</w:t>
      </w:r>
      <w:r>
        <w:rPr>
          <w:spacing w:val="30"/>
          <w:sz w:val="22"/>
        </w:rPr>
        <w:t> </w:t>
      </w:r>
      <w:r>
        <w:rPr>
          <w:sz w:val="22"/>
        </w:rPr>
        <w:t>to</w:t>
      </w:r>
      <w:r>
        <w:rPr>
          <w:spacing w:val="29"/>
          <w:sz w:val="22"/>
        </w:rPr>
        <w:t> </w:t>
      </w:r>
      <w:r>
        <w:rPr>
          <w:sz w:val="22"/>
        </w:rPr>
        <w:t>reduce</w:t>
      </w:r>
      <w:r>
        <w:rPr>
          <w:spacing w:val="29"/>
          <w:sz w:val="22"/>
        </w:rPr>
        <w:t> </w:t>
      </w:r>
      <w:r>
        <w:rPr>
          <w:sz w:val="22"/>
        </w:rPr>
        <w:t>HVAC</w:t>
      </w:r>
      <w:r>
        <w:rPr>
          <w:spacing w:val="29"/>
          <w:sz w:val="22"/>
        </w:rPr>
        <w:t> </w:t>
      </w:r>
      <w:r>
        <w:rPr>
          <w:sz w:val="22"/>
        </w:rPr>
        <w:t>loads</w:t>
      </w:r>
      <w:r>
        <w:rPr>
          <w:spacing w:val="30"/>
          <w:sz w:val="22"/>
        </w:rPr>
        <w:t> </w:t>
      </w:r>
      <w:r>
        <w:rPr>
          <w:sz w:val="22"/>
        </w:rPr>
        <w:t>by</w:t>
      </w:r>
      <w:r>
        <w:rPr>
          <w:spacing w:val="19"/>
          <w:sz w:val="22"/>
        </w:rPr>
        <w:t> </w:t>
      </w:r>
      <w:r>
        <w:rPr>
          <w:spacing w:val="-5"/>
          <w:sz w:val="22"/>
        </w:rPr>
        <w:t>30%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80" w:lineRule="auto" w:before="134" w:after="0"/>
        <w:ind w:left="435" w:right="439" w:hanging="346"/>
        <w:jc w:val="left"/>
        <w:rPr>
          <w:sz w:val="22"/>
        </w:rPr>
      </w:pPr>
      <w:r>
        <w:rPr>
          <w:w w:val="105"/>
          <w:sz w:val="22"/>
        </w:rPr>
        <w:t>Coordinated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with engineers and consultants on life-cycle assessments and energy </w:t>
      </w:r>
      <w:r>
        <w:rPr>
          <w:spacing w:val="-2"/>
          <w:w w:val="105"/>
          <w:sz w:val="22"/>
        </w:rPr>
        <w:t>modeling</w:t>
      </w:r>
    </w:p>
    <w:p>
      <w:pPr>
        <w:spacing w:before="147"/>
        <w:ind w:left="63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w w:val="130"/>
          <w:sz w:val="16"/>
        </w:rPr>
        <w:t>Architectural</w:t>
      </w:r>
      <w:r>
        <w:rPr>
          <w:rFonts w:ascii="Calibri"/>
          <w:b/>
          <w:spacing w:val="5"/>
          <w:w w:val="135"/>
          <w:sz w:val="16"/>
        </w:rPr>
        <w:t> </w:t>
      </w:r>
      <w:r>
        <w:rPr>
          <w:rFonts w:ascii="Calibri"/>
          <w:b/>
          <w:spacing w:val="-2"/>
          <w:w w:val="135"/>
          <w:sz w:val="16"/>
        </w:rPr>
        <w:t>Designer</w:t>
      </w:r>
    </w:p>
    <w:p>
      <w:pPr>
        <w:tabs>
          <w:tab w:pos="6566" w:val="left" w:leader="none"/>
        </w:tabs>
        <w:spacing w:before="65"/>
        <w:ind w:left="63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EnviroBuild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Collective,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San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Jose,</w:t>
      </w:r>
      <w:r>
        <w:rPr>
          <w:i/>
          <w:spacing w:val="-13"/>
          <w:sz w:val="22"/>
        </w:rPr>
        <w:t> </w:t>
      </w:r>
      <w:r>
        <w:rPr>
          <w:i/>
          <w:spacing w:val="-5"/>
          <w:sz w:val="22"/>
        </w:rPr>
        <w:t>CA</w:t>
      </w:r>
      <w:r>
        <w:rPr>
          <w:i/>
          <w:sz w:val="22"/>
        </w:rPr>
        <w:tab/>
        <w:t>September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2013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May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2016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80" w:lineRule="auto" w:before="135" w:after="0"/>
        <w:ind w:left="435" w:right="374" w:hanging="346"/>
        <w:jc w:val="left"/>
        <w:rPr>
          <w:sz w:val="22"/>
        </w:rPr>
      </w:pPr>
      <w:r>
        <w:rPr>
          <w:w w:val="105"/>
          <w:sz w:val="22"/>
        </w:rPr>
        <w:t>Created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energy-efficient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layouts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envelope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details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residential</w:t>
      </w:r>
      <w:r>
        <w:rPr>
          <w:spacing w:val="-21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mixed-use </w:t>
      </w:r>
      <w:r>
        <w:rPr>
          <w:spacing w:val="-2"/>
          <w:w w:val="105"/>
          <w:sz w:val="22"/>
        </w:rPr>
        <w:t>projects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92" w:after="0"/>
        <w:ind w:left="435" w:right="0" w:hanging="346"/>
        <w:jc w:val="left"/>
        <w:rPr>
          <w:sz w:val="22"/>
        </w:rPr>
      </w:pPr>
      <w:r>
        <w:rPr>
          <w:w w:val="105"/>
          <w:sz w:val="22"/>
        </w:rPr>
        <w:t>Assisted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in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producing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LEED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documentation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site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impact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analysis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35" w:after="0"/>
        <w:ind w:left="435" w:right="0" w:hanging="346"/>
        <w:jc w:val="left"/>
        <w:rPr>
          <w:sz w:val="22"/>
        </w:rPr>
      </w:pPr>
      <w:r>
        <w:rPr>
          <w:spacing w:val="-2"/>
          <w:w w:val="105"/>
          <w:sz w:val="22"/>
        </w:rPr>
        <w:t>Specified materials based</w:t>
      </w:r>
      <w:r>
        <w:rPr>
          <w:spacing w:val="-1"/>
          <w:w w:val="105"/>
          <w:sz w:val="22"/>
        </w:rPr>
        <w:t> </w:t>
      </w:r>
      <w:r>
        <w:rPr>
          <w:spacing w:val="-2"/>
          <w:w w:val="105"/>
          <w:sz w:val="22"/>
        </w:rPr>
        <w:t>on environmental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product declarations</w:t>
      </w:r>
      <w:r>
        <w:rPr>
          <w:spacing w:val="-1"/>
          <w:w w:val="105"/>
          <w:sz w:val="22"/>
        </w:rPr>
        <w:t> </w:t>
      </w:r>
      <w:r>
        <w:rPr>
          <w:spacing w:val="-2"/>
          <w:w w:val="105"/>
          <w:sz w:val="22"/>
        </w:rPr>
        <w:t>(EPDs)</w:t>
      </w:r>
    </w:p>
    <w:p>
      <w:pPr>
        <w:pStyle w:val="Heading2"/>
        <w:spacing w:before="228"/>
      </w:pPr>
      <w:r>
        <w:rPr>
          <w:color w:val="F98B78"/>
          <w:spacing w:val="-2"/>
          <w:w w:val="130"/>
        </w:rPr>
        <w:t>Education</w:t>
      </w:r>
    </w:p>
    <w:p>
      <w:pPr>
        <w:spacing w:before="168"/>
        <w:ind w:left="63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w w:val="130"/>
          <w:sz w:val="16"/>
        </w:rPr>
        <w:t>Bachelor</w:t>
      </w:r>
      <w:r>
        <w:rPr>
          <w:rFonts w:ascii="Calibri"/>
          <w:b/>
          <w:spacing w:val="8"/>
          <w:w w:val="130"/>
          <w:sz w:val="16"/>
        </w:rPr>
        <w:t> </w:t>
      </w:r>
      <w:r>
        <w:rPr>
          <w:rFonts w:ascii="Calibri"/>
          <w:b/>
          <w:w w:val="130"/>
          <w:sz w:val="16"/>
        </w:rPr>
        <w:t>of</w:t>
      </w:r>
      <w:r>
        <w:rPr>
          <w:rFonts w:ascii="Calibri"/>
          <w:b/>
          <w:spacing w:val="9"/>
          <w:w w:val="130"/>
          <w:sz w:val="16"/>
        </w:rPr>
        <w:t> </w:t>
      </w:r>
      <w:r>
        <w:rPr>
          <w:rFonts w:ascii="Calibri"/>
          <w:b/>
          <w:w w:val="130"/>
          <w:sz w:val="16"/>
        </w:rPr>
        <w:t>Architecture</w:t>
      </w:r>
      <w:r>
        <w:rPr>
          <w:rFonts w:ascii="Calibri"/>
          <w:b/>
          <w:spacing w:val="9"/>
          <w:w w:val="130"/>
          <w:sz w:val="16"/>
        </w:rPr>
        <w:t> </w:t>
      </w:r>
      <w:r>
        <w:rPr>
          <w:rFonts w:ascii="Calibri"/>
          <w:b/>
          <w:spacing w:val="-2"/>
          <w:w w:val="130"/>
          <w:sz w:val="16"/>
        </w:rPr>
        <w:t>(B.Arch)</w:t>
      </w:r>
    </w:p>
    <w:p>
      <w:pPr>
        <w:pStyle w:val="BodyText"/>
        <w:spacing w:before="66"/>
        <w:ind w:left="63" w:firstLine="0"/>
      </w:pPr>
      <w:r>
        <w:rPr/>
        <w:t>University</w:t>
      </w:r>
      <w:r>
        <w:rPr>
          <w:spacing w:val="-17"/>
        </w:rPr>
        <w:t> </w:t>
      </w:r>
      <w:r>
        <w:rPr/>
        <w:t>of</w:t>
      </w:r>
      <w:r>
        <w:rPr>
          <w:spacing w:val="-17"/>
        </w:rPr>
        <w:t> </w:t>
      </w:r>
      <w:r>
        <w:rPr/>
        <w:t>California,</w:t>
      </w:r>
      <w:r>
        <w:rPr>
          <w:spacing w:val="-15"/>
        </w:rPr>
        <w:t> </w:t>
      </w:r>
      <w:r>
        <w:rPr/>
        <w:t>Berkeley</w:t>
      </w:r>
      <w:r>
        <w:rPr>
          <w:spacing w:val="-17"/>
        </w:rPr>
        <w:t> </w:t>
      </w:r>
      <w:r>
        <w:rPr>
          <w:w w:val="85"/>
        </w:rPr>
        <w:t>|</w:t>
      </w:r>
      <w:r>
        <w:rPr>
          <w:spacing w:val="-2"/>
          <w:w w:val="85"/>
        </w:rPr>
        <w:t> </w:t>
      </w:r>
      <w:r>
        <w:rPr>
          <w:spacing w:val="-4"/>
        </w:rPr>
        <w:t>2013</w:t>
      </w:r>
    </w:p>
    <w:sectPr>
      <w:type w:val="continuous"/>
      <w:pgSz w:w="11920" w:h="16860"/>
      <w:pgMar w:top="106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35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2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5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8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11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04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7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89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82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5"/>
      <w:ind w:left="435" w:hanging="346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5"/>
      <w:ind w:left="63"/>
      <w:outlineLvl w:val="1"/>
    </w:pPr>
    <w:rPr>
      <w:rFonts w:ascii="Calibri" w:hAnsi="Calibri" w:eastAsia="Calibri" w:cs="Calibri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8"/>
      <w:ind w:left="3"/>
      <w:jc w:val="center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5"/>
      <w:ind w:left="435" w:hanging="34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2025-12-14T03:31:16Z</dcterms:created>
  <dcterms:modified xsi:type="dcterms:W3CDTF">2025-12-14T03:31:16Z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2025-12-14T00:00:00Z</vt:filetime>
  </property>
  <property fmtid="{D5CDD505-2E9C-101B-9397-08002B2CF9AE}" pid="5" name="Producer">
    <vt:lpwstr>Skia/PDF m121</vt:lpwstr>
  </property>
</Properties>
</file>