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0" w:lineRule="exact"/>
        <w:ind w:left="47" w:right="-519" w:firstLine="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4305300" cy="952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305300" cy="9525"/>
                          <a:chExt cx="4305300" cy="95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3053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05300" h="9525">
                                <a:moveTo>
                                  <a:pt x="43052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305299" y="0"/>
                                </a:lnTo>
                                <a:lnTo>
                                  <a:pt x="43052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39pt;height:.75pt;mso-position-horizontal-relative:char;mso-position-vertical-relative:line" id="docshapegroup1" coordorigin="0,0" coordsize="6780,15">
                <v:rect style="position:absolute;left:0;top:0;width:6780;height:15" id="docshape2" filled="true" fillcolor="#33373c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Heading1"/>
        <w:spacing w:before="143"/>
      </w:pPr>
      <w:r>
        <w:rPr>
          <w:color w:val="33373C"/>
          <w:w w:val="125"/>
        </w:rPr>
        <w:t>Professional</w:t>
      </w:r>
      <w:r>
        <w:rPr>
          <w:color w:val="33373C"/>
          <w:spacing w:val="31"/>
          <w:w w:val="130"/>
        </w:rPr>
        <w:t> </w:t>
      </w:r>
      <w:r>
        <w:rPr>
          <w:color w:val="33373C"/>
          <w:spacing w:val="-2"/>
          <w:w w:val="130"/>
        </w:rPr>
        <w:t>Experience</w:t>
      </w:r>
    </w:p>
    <w:p>
      <w:pPr>
        <w:pStyle w:val="Heading2"/>
        <w:spacing w:before="242"/>
      </w:pPr>
      <w:r>
        <w:rPr>
          <w:color w:val="58585B"/>
          <w:w w:val="130"/>
        </w:rPr>
        <w:t>Health</w:t>
      </w:r>
      <w:r>
        <w:rPr>
          <w:color w:val="58585B"/>
          <w:spacing w:val="-12"/>
          <w:w w:val="130"/>
        </w:rPr>
        <w:t> </w:t>
      </w:r>
      <w:r>
        <w:rPr>
          <w:color w:val="58585B"/>
          <w:w w:val="130"/>
        </w:rPr>
        <w:t>Care</w:t>
      </w:r>
      <w:r>
        <w:rPr>
          <w:color w:val="58585B"/>
          <w:spacing w:val="-12"/>
          <w:w w:val="130"/>
        </w:rPr>
        <w:t> </w:t>
      </w:r>
      <w:r>
        <w:rPr>
          <w:color w:val="58585B"/>
          <w:spacing w:val="-2"/>
          <w:w w:val="130"/>
        </w:rPr>
        <w:t>Counsel</w:t>
      </w:r>
    </w:p>
    <w:p>
      <w:pPr>
        <w:spacing w:before="49"/>
        <w:ind w:left="51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Silverline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2"/>
          <w:sz w:val="22"/>
        </w:rPr>
        <w:t>Health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2"/>
          <w:sz w:val="22"/>
        </w:rPr>
        <w:t>Systems,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2"/>
          <w:sz w:val="22"/>
        </w:rPr>
        <w:t>Boston,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2"/>
          <w:sz w:val="22"/>
        </w:rPr>
        <w:t>MA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pacing w:val="-2"/>
          <w:w w:val="95"/>
          <w:sz w:val="22"/>
        </w:rPr>
        <w:t>|</w:t>
      </w:r>
      <w:r>
        <w:rPr>
          <w:i/>
          <w:color w:val="58585B"/>
          <w:spacing w:val="-12"/>
          <w:w w:val="95"/>
          <w:sz w:val="22"/>
        </w:rPr>
        <w:t> </w:t>
      </w:r>
      <w:r>
        <w:rPr>
          <w:i/>
          <w:color w:val="58585B"/>
          <w:spacing w:val="-2"/>
          <w:sz w:val="22"/>
        </w:rPr>
        <w:t>January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pacing w:val="-2"/>
          <w:sz w:val="22"/>
        </w:rPr>
        <w:t>2019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2"/>
          <w:sz w:val="22"/>
        </w:rPr>
        <w:t>-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2"/>
          <w:sz w:val="22"/>
        </w:rPr>
        <w:t>Present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80" w:lineRule="auto" w:before="255" w:after="0"/>
        <w:ind w:left="423" w:right="77" w:hanging="347"/>
        <w:jc w:val="left"/>
        <w:rPr>
          <w:sz w:val="22"/>
        </w:rPr>
      </w:pPr>
      <w:r>
        <w:rPr>
          <w:color w:val="58585B"/>
          <w:w w:val="105"/>
          <w:sz w:val="22"/>
        </w:rPr>
        <w:t>Defended</w:t>
      </w:r>
      <w:r>
        <w:rPr>
          <w:color w:val="58585B"/>
          <w:spacing w:val="-9"/>
          <w:w w:val="105"/>
          <w:sz w:val="22"/>
        </w:rPr>
        <w:t> </w:t>
      </w:r>
      <w:r>
        <w:rPr>
          <w:color w:val="58585B"/>
          <w:w w:val="105"/>
          <w:sz w:val="22"/>
        </w:rPr>
        <w:t>providers</w:t>
      </w:r>
      <w:r>
        <w:rPr>
          <w:color w:val="58585B"/>
          <w:spacing w:val="-9"/>
          <w:w w:val="105"/>
          <w:sz w:val="22"/>
        </w:rPr>
        <w:t> </w:t>
      </w:r>
      <w:r>
        <w:rPr>
          <w:color w:val="58585B"/>
          <w:w w:val="105"/>
          <w:sz w:val="22"/>
        </w:rPr>
        <w:t>in</w:t>
      </w:r>
      <w:r>
        <w:rPr>
          <w:color w:val="58585B"/>
          <w:spacing w:val="-9"/>
          <w:w w:val="105"/>
          <w:sz w:val="22"/>
        </w:rPr>
        <w:t> </w:t>
      </w:r>
      <w:r>
        <w:rPr>
          <w:color w:val="58585B"/>
          <w:w w:val="105"/>
          <w:sz w:val="22"/>
        </w:rPr>
        <w:t>government</w:t>
      </w:r>
      <w:r>
        <w:rPr>
          <w:color w:val="58585B"/>
          <w:spacing w:val="-9"/>
          <w:w w:val="105"/>
          <w:sz w:val="22"/>
        </w:rPr>
        <w:t> </w:t>
      </w:r>
      <w:r>
        <w:rPr>
          <w:color w:val="58585B"/>
          <w:w w:val="105"/>
          <w:sz w:val="22"/>
        </w:rPr>
        <w:t>audits,</w:t>
      </w:r>
      <w:r>
        <w:rPr>
          <w:color w:val="58585B"/>
          <w:spacing w:val="-9"/>
          <w:w w:val="105"/>
          <w:sz w:val="22"/>
        </w:rPr>
        <w:t> </w:t>
      </w:r>
      <w:r>
        <w:rPr>
          <w:color w:val="58585B"/>
          <w:w w:val="105"/>
          <w:sz w:val="22"/>
        </w:rPr>
        <w:t>saving</w:t>
      </w:r>
      <w:r>
        <w:rPr>
          <w:color w:val="58585B"/>
          <w:spacing w:val="-9"/>
          <w:w w:val="105"/>
          <w:sz w:val="22"/>
        </w:rPr>
        <w:t> </w:t>
      </w:r>
      <w:r>
        <w:rPr>
          <w:color w:val="58585B"/>
          <w:w w:val="105"/>
          <w:sz w:val="22"/>
        </w:rPr>
        <w:t>over</w:t>
      </w:r>
      <w:r>
        <w:rPr>
          <w:color w:val="58585B"/>
          <w:spacing w:val="-15"/>
          <w:w w:val="105"/>
          <w:sz w:val="22"/>
        </w:rPr>
        <w:t> </w:t>
      </w:r>
      <w:r>
        <w:rPr>
          <w:color w:val="58585B"/>
          <w:w w:val="105"/>
          <w:sz w:val="22"/>
        </w:rPr>
        <w:t>$2 million in disputed reimbursements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92" w:after="0"/>
        <w:ind w:left="423" w:right="0" w:hanging="347"/>
        <w:jc w:val="left"/>
        <w:rPr>
          <w:sz w:val="22"/>
        </w:rPr>
      </w:pPr>
      <w:r>
        <w:rPr>
          <w:color w:val="58585B"/>
          <w:spacing w:val="-2"/>
          <w:w w:val="105"/>
          <w:sz w:val="22"/>
        </w:rPr>
        <w:t>Negotiated</w:t>
      </w:r>
      <w:r>
        <w:rPr>
          <w:color w:val="58585B"/>
          <w:spacing w:val="-4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managed</w:t>
      </w:r>
      <w:r>
        <w:rPr>
          <w:color w:val="58585B"/>
          <w:spacing w:val="-4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care</w:t>
      </w:r>
      <w:r>
        <w:rPr>
          <w:color w:val="58585B"/>
          <w:spacing w:val="-4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contracts</w:t>
      </w:r>
      <w:r>
        <w:rPr>
          <w:color w:val="58585B"/>
          <w:spacing w:val="-10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with</w:t>
      </w:r>
      <w:r>
        <w:rPr>
          <w:color w:val="58585B"/>
          <w:spacing w:val="-4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national</w:t>
      </w:r>
      <w:r>
        <w:rPr>
          <w:color w:val="58585B"/>
          <w:spacing w:val="-12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insurers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80" w:lineRule="auto" w:before="134" w:after="0"/>
        <w:ind w:left="423" w:right="345" w:hanging="347"/>
        <w:jc w:val="left"/>
        <w:rPr>
          <w:sz w:val="22"/>
        </w:rPr>
      </w:pPr>
      <w:r>
        <w:rPr>
          <w:color w:val="58585B"/>
          <w:w w:val="105"/>
          <w:sz w:val="22"/>
        </w:rPr>
        <w:t>Led</w:t>
      </w:r>
      <w:r>
        <w:rPr>
          <w:color w:val="58585B"/>
          <w:spacing w:val="-11"/>
          <w:w w:val="105"/>
          <w:sz w:val="22"/>
        </w:rPr>
        <w:t> </w:t>
      </w:r>
      <w:r>
        <w:rPr>
          <w:color w:val="58585B"/>
          <w:w w:val="105"/>
          <w:sz w:val="22"/>
        </w:rPr>
        <w:t>legal</w:t>
      </w:r>
      <w:r>
        <w:rPr>
          <w:color w:val="58585B"/>
          <w:spacing w:val="-18"/>
          <w:w w:val="105"/>
          <w:sz w:val="22"/>
        </w:rPr>
        <w:t> </w:t>
      </w:r>
      <w:r>
        <w:rPr>
          <w:color w:val="58585B"/>
          <w:w w:val="105"/>
          <w:sz w:val="22"/>
        </w:rPr>
        <w:t>review</w:t>
      </w:r>
      <w:r>
        <w:rPr>
          <w:color w:val="58585B"/>
          <w:spacing w:val="-17"/>
          <w:w w:val="105"/>
          <w:sz w:val="22"/>
        </w:rPr>
        <w:t> </w:t>
      </w:r>
      <w:r>
        <w:rPr>
          <w:color w:val="58585B"/>
          <w:w w:val="105"/>
          <w:sz w:val="22"/>
        </w:rPr>
        <w:t>of</w:t>
      </w:r>
      <w:r>
        <w:rPr>
          <w:color w:val="58585B"/>
          <w:spacing w:val="-23"/>
          <w:w w:val="105"/>
          <w:sz w:val="22"/>
        </w:rPr>
        <w:t> </w:t>
      </w:r>
      <w:r>
        <w:rPr>
          <w:color w:val="58585B"/>
          <w:w w:val="105"/>
          <w:sz w:val="22"/>
        </w:rPr>
        <w:t>vendor</w:t>
      </w:r>
      <w:r>
        <w:rPr>
          <w:color w:val="58585B"/>
          <w:spacing w:val="-16"/>
          <w:w w:val="105"/>
          <w:sz w:val="22"/>
        </w:rPr>
        <w:t> </w:t>
      </w:r>
      <w:r>
        <w:rPr>
          <w:color w:val="58585B"/>
          <w:w w:val="105"/>
          <w:sz w:val="22"/>
        </w:rPr>
        <w:t>agreements</w:t>
      </w:r>
      <w:r>
        <w:rPr>
          <w:color w:val="58585B"/>
          <w:spacing w:val="-11"/>
          <w:w w:val="105"/>
          <w:sz w:val="22"/>
        </w:rPr>
        <w:t> </w:t>
      </w:r>
      <w:r>
        <w:rPr>
          <w:color w:val="58585B"/>
          <w:w w:val="105"/>
          <w:sz w:val="22"/>
        </w:rPr>
        <w:t>across</w:t>
      </w:r>
      <w:r>
        <w:rPr>
          <w:color w:val="58585B"/>
          <w:spacing w:val="-11"/>
          <w:w w:val="105"/>
          <w:sz w:val="22"/>
        </w:rPr>
        <w:t> </w:t>
      </w:r>
      <w:r>
        <w:rPr>
          <w:color w:val="58585B"/>
          <w:w w:val="105"/>
          <w:sz w:val="22"/>
        </w:rPr>
        <w:t>12</w:t>
      </w:r>
      <w:r>
        <w:rPr>
          <w:color w:val="58585B"/>
          <w:spacing w:val="-11"/>
          <w:w w:val="105"/>
          <w:sz w:val="22"/>
        </w:rPr>
        <w:t> </w:t>
      </w:r>
      <w:r>
        <w:rPr>
          <w:color w:val="58585B"/>
          <w:w w:val="105"/>
          <w:sz w:val="22"/>
        </w:rPr>
        <w:t>clinic </w:t>
      </w:r>
      <w:r>
        <w:rPr>
          <w:color w:val="58585B"/>
          <w:spacing w:val="-2"/>
          <w:w w:val="105"/>
          <w:sz w:val="22"/>
        </w:rPr>
        <w:t>locations</w:t>
      </w:r>
    </w:p>
    <w:p>
      <w:pPr>
        <w:pStyle w:val="Heading2"/>
        <w:spacing w:before="210"/>
      </w:pPr>
      <w:r>
        <w:rPr>
          <w:color w:val="58585B"/>
          <w:spacing w:val="-2"/>
          <w:w w:val="130"/>
        </w:rPr>
        <w:t>Regulatory</w:t>
      </w:r>
      <w:r>
        <w:rPr>
          <w:color w:val="58585B"/>
          <w:spacing w:val="2"/>
          <w:w w:val="130"/>
        </w:rPr>
        <w:t> </w:t>
      </w:r>
      <w:r>
        <w:rPr>
          <w:color w:val="58585B"/>
          <w:spacing w:val="-2"/>
          <w:w w:val="130"/>
        </w:rPr>
        <w:t>Associate</w:t>
      </w:r>
    </w:p>
    <w:p>
      <w:pPr>
        <w:spacing w:before="49"/>
        <w:ind w:left="51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MedLegal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z w:val="22"/>
        </w:rPr>
        <w:t>Partners,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z w:val="22"/>
        </w:rPr>
        <w:t>Boston,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z w:val="22"/>
        </w:rPr>
        <w:t>MA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w w:val="95"/>
          <w:sz w:val="22"/>
        </w:rPr>
        <w:t>|</w:t>
      </w:r>
      <w:r>
        <w:rPr>
          <w:i/>
          <w:color w:val="58585B"/>
          <w:spacing w:val="-10"/>
          <w:w w:val="95"/>
          <w:sz w:val="22"/>
        </w:rPr>
        <w:t> </w:t>
      </w:r>
      <w:r>
        <w:rPr>
          <w:i/>
          <w:color w:val="58585B"/>
          <w:sz w:val="22"/>
        </w:rPr>
        <w:t>August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z w:val="22"/>
        </w:rPr>
        <w:t>2013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z w:val="22"/>
        </w:rPr>
        <w:t>-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z w:val="22"/>
        </w:rPr>
        <w:t>December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pacing w:val="-4"/>
          <w:sz w:val="22"/>
        </w:rPr>
        <w:t>2018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80" w:lineRule="auto" w:before="255" w:after="0"/>
        <w:ind w:left="423" w:right="367" w:hanging="347"/>
        <w:jc w:val="left"/>
        <w:rPr>
          <w:sz w:val="22"/>
        </w:rPr>
      </w:pPr>
      <w:r>
        <w:rPr>
          <w:color w:val="58585B"/>
          <w:spacing w:val="-2"/>
          <w:w w:val="105"/>
          <w:sz w:val="22"/>
        </w:rPr>
        <w:t>Provided</w:t>
      </w:r>
      <w:r>
        <w:rPr>
          <w:color w:val="58585B"/>
          <w:spacing w:val="-5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legal</w:t>
      </w:r>
      <w:r>
        <w:rPr>
          <w:color w:val="58585B"/>
          <w:spacing w:val="-13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support</w:t>
      </w:r>
      <w:r>
        <w:rPr>
          <w:color w:val="58585B"/>
          <w:spacing w:val="-5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for</w:t>
      </w:r>
      <w:r>
        <w:rPr>
          <w:color w:val="58585B"/>
          <w:spacing w:val="-10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hospital</w:t>
      </w:r>
      <w:r>
        <w:rPr>
          <w:color w:val="58585B"/>
          <w:spacing w:val="-13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expansion</w:t>
      </w:r>
      <w:r>
        <w:rPr>
          <w:color w:val="58585B"/>
          <w:spacing w:val="-5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projects, </w:t>
      </w:r>
      <w:r>
        <w:rPr>
          <w:color w:val="58585B"/>
          <w:w w:val="105"/>
          <w:sz w:val="22"/>
        </w:rPr>
        <w:t>licensing, and compliance training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74"/>
        <w:ind w:left="0"/>
        <w:rPr>
          <w:sz w:val="20"/>
        </w:rPr>
      </w:pPr>
    </w:p>
    <w:p>
      <w:pPr>
        <w:spacing w:line="20" w:lineRule="exact"/>
        <w:ind w:left="47" w:right="-519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4305300" cy="9525"/>
                <wp:effectExtent l="0" t="0" r="0" b="0"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4305300" cy="9525"/>
                          <a:chExt cx="4305300" cy="952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43053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05300" h="9525">
                                <a:moveTo>
                                  <a:pt x="43052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305299" y="0"/>
                                </a:lnTo>
                                <a:lnTo>
                                  <a:pt x="43052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39pt;height:.75pt;mso-position-horizontal-relative:char;mso-position-vertical-relative:line" id="docshapegroup3" coordorigin="0,0" coordsize="6780,15">
                <v:rect style="position:absolute;left:0;top:0;width:6780;height:15" id="docshape4" filled="true" fillcolor="#33373c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60"/>
      </w:pPr>
      <w:r>
        <w:rPr>
          <w:color w:val="33373C"/>
          <w:spacing w:val="-2"/>
          <w:w w:val="130"/>
        </w:rPr>
        <w:t>Education</w:t>
      </w:r>
    </w:p>
    <w:p>
      <w:pPr>
        <w:pStyle w:val="Heading2"/>
        <w:spacing w:before="227"/>
      </w:pPr>
      <w:r>
        <w:rPr>
          <w:color w:val="58585B"/>
          <w:w w:val="130"/>
        </w:rPr>
        <w:t>Juris</w:t>
      </w:r>
      <w:r>
        <w:rPr>
          <w:color w:val="58585B"/>
          <w:spacing w:val="-2"/>
          <w:w w:val="130"/>
        </w:rPr>
        <w:t> </w:t>
      </w:r>
      <w:r>
        <w:rPr>
          <w:color w:val="58585B"/>
          <w:w w:val="130"/>
        </w:rPr>
        <w:t>Doctor</w:t>
      </w:r>
      <w:r>
        <w:rPr>
          <w:color w:val="58585B"/>
          <w:spacing w:val="-2"/>
          <w:w w:val="130"/>
        </w:rPr>
        <w:t> (J.D.)</w:t>
      </w:r>
    </w:p>
    <w:p>
      <w:pPr>
        <w:pStyle w:val="BodyText"/>
        <w:spacing w:before="50"/>
        <w:ind w:left="51"/>
      </w:pPr>
      <w:r>
        <w:rPr>
          <w:color w:val="58585B"/>
        </w:rPr>
        <w:t>Boston</w:t>
      </w:r>
      <w:r>
        <w:rPr>
          <w:color w:val="58585B"/>
          <w:spacing w:val="16"/>
        </w:rPr>
        <w:t> </w:t>
      </w:r>
      <w:r>
        <w:rPr>
          <w:color w:val="58585B"/>
        </w:rPr>
        <w:t>University</w:t>
      </w:r>
      <w:r>
        <w:rPr>
          <w:color w:val="58585B"/>
          <w:spacing w:val="7"/>
        </w:rPr>
        <w:t> </w:t>
      </w:r>
      <w:r>
        <w:rPr>
          <w:color w:val="58585B"/>
        </w:rPr>
        <w:t>School</w:t>
      </w:r>
      <w:r>
        <w:rPr>
          <w:color w:val="58585B"/>
          <w:spacing w:val="6"/>
        </w:rPr>
        <w:t> </w:t>
      </w:r>
      <w:r>
        <w:rPr>
          <w:color w:val="58585B"/>
        </w:rPr>
        <w:t>of</w:t>
      </w:r>
      <w:r>
        <w:rPr>
          <w:color w:val="58585B"/>
          <w:spacing w:val="9"/>
        </w:rPr>
        <w:t> </w:t>
      </w:r>
      <w:r>
        <w:rPr>
          <w:color w:val="58585B"/>
        </w:rPr>
        <w:t>Law</w:t>
      </w:r>
      <w:r>
        <w:rPr>
          <w:color w:val="58585B"/>
          <w:spacing w:val="7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16"/>
        </w:rPr>
        <w:t> </w:t>
      </w:r>
      <w:r>
        <w:rPr>
          <w:color w:val="58585B"/>
          <w:spacing w:val="-4"/>
        </w:rPr>
        <w:t>2013</w:t>
      </w:r>
    </w:p>
    <w:p>
      <w:pPr>
        <w:pStyle w:val="Heading2"/>
        <w:spacing w:before="251"/>
      </w:pPr>
      <w:r>
        <w:rPr>
          <w:color w:val="58585B"/>
          <w:w w:val="130"/>
        </w:rPr>
        <w:t>Bachelor</w:t>
      </w:r>
      <w:r>
        <w:rPr>
          <w:color w:val="58585B"/>
          <w:spacing w:val="-5"/>
          <w:w w:val="130"/>
        </w:rPr>
        <w:t> </w:t>
      </w:r>
      <w:r>
        <w:rPr>
          <w:color w:val="58585B"/>
          <w:w w:val="130"/>
        </w:rPr>
        <w:t>of</w:t>
      </w:r>
      <w:r>
        <w:rPr>
          <w:color w:val="58585B"/>
          <w:spacing w:val="-2"/>
          <w:w w:val="130"/>
        </w:rPr>
        <w:t> </w:t>
      </w:r>
      <w:r>
        <w:rPr>
          <w:color w:val="58585B"/>
          <w:w w:val="130"/>
        </w:rPr>
        <w:t>Science</w:t>
      </w:r>
      <w:r>
        <w:rPr>
          <w:color w:val="58585B"/>
          <w:spacing w:val="-2"/>
          <w:w w:val="130"/>
        </w:rPr>
        <w:t> </w:t>
      </w:r>
      <w:r>
        <w:rPr>
          <w:color w:val="58585B"/>
          <w:w w:val="130"/>
        </w:rPr>
        <w:t>in</w:t>
      </w:r>
      <w:r>
        <w:rPr>
          <w:color w:val="58585B"/>
          <w:spacing w:val="-2"/>
          <w:w w:val="130"/>
        </w:rPr>
        <w:t> </w:t>
      </w:r>
      <w:r>
        <w:rPr>
          <w:color w:val="58585B"/>
          <w:w w:val="130"/>
        </w:rPr>
        <w:t>Public</w:t>
      </w:r>
      <w:r>
        <w:rPr>
          <w:color w:val="58585B"/>
          <w:spacing w:val="-2"/>
          <w:w w:val="130"/>
        </w:rPr>
        <w:t> Health</w:t>
      </w:r>
    </w:p>
    <w:p>
      <w:pPr>
        <w:pStyle w:val="BodyText"/>
        <w:spacing w:before="50"/>
        <w:ind w:left="51"/>
      </w:pPr>
      <w:r>
        <w:rPr>
          <w:color w:val="58585B"/>
        </w:rPr>
        <w:t>University</w:t>
      </w:r>
      <w:r>
        <w:rPr>
          <w:color w:val="58585B"/>
          <w:spacing w:val="-13"/>
        </w:rPr>
        <w:t> </w:t>
      </w:r>
      <w:r>
        <w:rPr>
          <w:color w:val="58585B"/>
        </w:rPr>
        <w:t>of</w:t>
      </w:r>
      <w:r>
        <w:rPr>
          <w:color w:val="58585B"/>
          <w:spacing w:val="-18"/>
        </w:rPr>
        <w:t> </w:t>
      </w:r>
      <w:r>
        <w:rPr>
          <w:color w:val="58585B"/>
        </w:rPr>
        <w:t>Vermont</w:t>
      </w:r>
      <w:r>
        <w:rPr>
          <w:color w:val="58585B"/>
          <w:spacing w:val="-6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-5"/>
        </w:rPr>
        <w:t> </w:t>
      </w:r>
      <w:r>
        <w:rPr>
          <w:color w:val="58585B"/>
          <w:spacing w:val="-4"/>
        </w:rPr>
        <w:t>2009</w:t>
      </w:r>
    </w:p>
    <w:p>
      <w:pPr>
        <w:spacing w:line="240" w:lineRule="auto"/>
        <w:ind w:left="-280" w:right="-44" w:firstLine="0"/>
        <w:rPr>
          <w:sz w:val="20"/>
        </w:rPr>
      </w:pPr>
      <w:r>
        <w:rPr/>
        <w:br w:type="column"/>
      </w:r>
      <w:r>
        <w:rPr>
          <w:sz w:val="20"/>
        </w:rPr>
        <mc:AlternateContent>
          <mc:Choice Requires="wps">
            <w:drawing>
              <wp:inline distT="0" distB="0" distL="0" distR="0">
                <wp:extent cx="2600325" cy="2609850"/>
                <wp:effectExtent l="0" t="0" r="0" b="0"/>
                <wp:docPr id="5" name="Textbox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Textbox 5"/>
                      <wps:cNvSpPr txBox="1"/>
                      <wps:spPr>
                        <a:xfrm>
                          <a:off x="0" y="0"/>
                          <a:ext cx="2600325" cy="2609850"/>
                        </a:xfrm>
                        <a:prstGeom prst="rect">
                          <a:avLst/>
                        </a:prstGeom>
                        <a:solidFill>
                          <a:srgbClr val="33373C"/>
                        </a:solidFill>
                      </wps:spPr>
                      <wps:txbx>
                        <w:txbxContent>
                          <w:p>
                            <w:pPr>
                              <w:spacing w:line="244" w:lineRule="auto" w:before="563"/>
                              <w:ind w:left="331" w:right="567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59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25"/>
                                <w:sz w:val="59"/>
                              </w:rPr>
                              <w:t>Shawn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30"/>
                                <w:sz w:val="59"/>
                              </w:rPr>
                              <w:t>White</w:t>
                            </w:r>
                          </w:p>
                          <w:p>
                            <w:pPr>
                              <w:spacing w:line="268" w:lineRule="auto" w:before="128"/>
                              <w:ind w:left="331" w:right="1682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w w:val="130"/>
                                <w:sz w:val="33"/>
                              </w:rPr>
                              <w:t>Health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5"/>
                                <w:w w:val="130"/>
                                <w:sz w:val="33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w w:val="130"/>
                                <w:sz w:val="33"/>
                              </w:rPr>
                              <w:t>Care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30"/>
                                <w:sz w:val="33"/>
                              </w:rPr>
                              <w:t>Lawyer</w:t>
                            </w:r>
                          </w:p>
                          <w:p>
                            <w:pPr>
                              <w:pStyle w:val="BodyText"/>
                              <w:spacing w:line="280" w:lineRule="auto" w:before="181"/>
                              <w:ind w:left="331" w:right="567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05"/>
                              </w:rPr>
                              <w:t>City, ST </w:t>
                            </w:r>
                            <w:hyperlink r:id="rId5">
                              <w:r>
                                <w:rPr>
                                  <w:color w:val="FFFFFF"/>
                                  <w:spacing w:val="-2"/>
                                </w:rPr>
                                <w:t>shawn.white@email.com</w:t>
                              </w:r>
                            </w:hyperlink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204.75pt;height:205.5pt;mso-position-horizontal-relative:char;mso-position-vertical-relative:line" type="#_x0000_t202" id="docshape5" filled="true" fillcolor="#33373c" stroked="false">
                <w10:anchorlock/>
                <v:textbox inset="0,0,0,0">
                  <w:txbxContent>
                    <w:p>
                      <w:pPr>
                        <w:spacing w:line="244" w:lineRule="auto" w:before="563"/>
                        <w:ind w:left="331" w:right="567" w:firstLine="0"/>
                        <w:jc w:val="left"/>
                        <w:rPr>
                          <w:rFonts w:ascii="Calibri"/>
                          <w:b/>
                          <w:color w:val="000000"/>
                          <w:sz w:val="59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25"/>
                          <w:sz w:val="59"/>
                        </w:rPr>
                        <w:t>Shawn 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30"/>
                          <w:sz w:val="59"/>
                        </w:rPr>
                        <w:t>White</w:t>
                      </w:r>
                    </w:p>
                    <w:p>
                      <w:pPr>
                        <w:spacing w:line="268" w:lineRule="auto" w:before="128"/>
                        <w:ind w:left="331" w:right="1682" w:firstLine="0"/>
                        <w:jc w:val="left"/>
                        <w:rPr>
                          <w:rFonts w:ascii="Calibri"/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w w:val="130"/>
                          <w:sz w:val="33"/>
                        </w:rPr>
                        <w:t>Health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25"/>
                          <w:w w:val="130"/>
                          <w:sz w:val="33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FFFFFF"/>
                          <w:w w:val="130"/>
                          <w:sz w:val="33"/>
                        </w:rPr>
                        <w:t>Care 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30"/>
                          <w:sz w:val="33"/>
                        </w:rPr>
                        <w:t>Lawyer</w:t>
                      </w:r>
                    </w:p>
                    <w:p>
                      <w:pPr>
                        <w:pStyle w:val="BodyText"/>
                        <w:spacing w:line="280" w:lineRule="auto" w:before="181"/>
                        <w:ind w:left="331" w:right="567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05"/>
                        </w:rPr>
                        <w:t>City, ST </w:t>
                      </w:r>
                      <w:hyperlink r:id="rId5">
                        <w:r>
                          <w:rPr>
                            <w:color w:val="FFFFFF"/>
                            <w:spacing w:val="-2"/>
                          </w:rPr>
                          <w:t>shawn.white@email.com</w:t>
                        </w:r>
                      </w:hyperlink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210"/>
        <w:ind w:left="0"/>
      </w:pPr>
    </w:p>
    <w:p>
      <w:pPr>
        <w:pStyle w:val="Heading2"/>
        <w:spacing w:line="276" w:lineRule="auto"/>
        <w:ind w:right="672"/>
        <w:jc w:val="both"/>
        <w:rPr>
          <w:rFonts w:ascii="Trebuchet MS"/>
        </w:rPr>
      </w:pPr>
      <w:r>
        <w:rPr>
          <w:rFonts w:ascii="Trebuchet MS"/>
          <w:color w:val="58585B"/>
          <w:w w:val="105"/>
        </w:rPr>
        <w:t>Health</w:t>
      </w:r>
      <w:r>
        <w:rPr>
          <w:rFonts w:ascii="Trebuchet MS"/>
          <w:color w:val="58585B"/>
          <w:spacing w:val="-10"/>
          <w:w w:val="105"/>
        </w:rPr>
        <w:t> </w:t>
      </w:r>
      <w:r>
        <w:rPr>
          <w:rFonts w:ascii="Trebuchet MS"/>
          <w:color w:val="58585B"/>
          <w:w w:val="105"/>
        </w:rPr>
        <w:t>care</w:t>
      </w:r>
      <w:r>
        <w:rPr>
          <w:rFonts w:ascii="Trebuchet MS"/>
          <w:color w:val="58585B"/>
          <w:spacing w:val="-10"/>
          <w:w w:val="105"/>
        </w:rPr>
        <w:t> </w:t>
      </w:r>
      <w:r>
        <w:rPr>
          <w:rFonts w:ascii="Trebuchet MS"/>
          <w:color w:val="58585B"/>
          <w:w w:val="105"/>
        </w:rPr>
        <w:t>attorney</w:t>
      </w:r>
      <w:r>
        <w:rPr>
          <w:rFonts w:ascii="Trebuchet MS"/>
          <w:color w:val="58585B"/>
          <w:spacing w:val="-17"/>
          <w:w w:val="105"/>
        </w:rPr>
        <w:t> </w:t>
      </w:r>
      <w:r>
        <w:rPr>
          <w:rFonts w:ascii="Trebuchet MS"/>
          <w:color w:val="58585B"/>
          <w:w w:val="105"/>
        </w:rPr>
        <w:t>guiding providers</w:t>
      </w:r>
      <w:r>
        <w:rPr>
          <w:rFonts w:ascii="Trebuchet MS"/>
          <w:color w:val="58585B"/>
          <w:spacing w:val="-18"/>
          <w:w w:val="105"/>
        </w:rPr>
        <w:t> </w:t>
      </w:r>
      <w:r>
        <w:rPr>
          <w:rFonts w:ascii="Trebuchet MS"/>
          <w:color w:val="58585B"/>
          <w:w w:val="105"/>
        </w:rPr>
        <w:t>through</w:t>
      </w:r>
      <w:r>
        <w:rPr>
          <w:rFonts w:ascii="Trebuchet MS"/>
          <w:color w:val="58585B"/>
          <w:spacing w:val="-17"/>
          <w:w w:val="105"/>
        </w:rPr>
        <w:t> </w:t>
      </w:r>
      <w:r>
        <w:rPr>
          <w:rFonts w:ascii="Trebuchet MS"/>
          <w:color w:val="58585B"/>
          <w:w w:val="105"/>
        </w:rPr>
        <w:t>regulatory </w:t>
      </w:r>
      <w:r>
        <w:rPr>
          <w:rFonts w:ascii="Trebuchet MS"/>
          <w:color w:val="58585B"/>
          <w:spacing w:val="-2"/>
          <w:w w:val="105"/>
        </w:rPr>
        <w:t>complexity</w:t>
      </w:r>
    </w:p>
    <w:p>
      <w:pPr>
        <w:pStyle w:val="BodyText"/>
        <w:spacing w:line="280" w:lineRule="auto" w:before="109"/>
        <w:ind w:left="51" w:right="417"/>
      </w:pPr>
      <w:r>
        <w:rPr>
          <w:color w:val="58585B"/>
          <w:w w:val="105"/>
        </w:rPr>
        <w:t>Health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care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lawyer</w:t>
      </w:r>
      <w:r>
        <w:rPr>
          <w:color w:val="58585B"/>
          <w:spacing w:val="-25"/>
          <w:w w:val="105"/>
        </w:rPr>
        <w:t> </w:t>
      </w:r>
      <w:r>
        <w:rPr>
          <w:color w:val="58585B"/>
          <w:w w:val="105"/>
        </w:rPr>
        <w:t>with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10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years of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experience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advising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hospitals, clinics, and biotech companies on fraud prevention, HIPAA compliance,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reimbursement litigation. Skilled in handling audits, licensure issues, and contract negotiations.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42"/>
        <w:ind w:left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5172074</wp:posOffset>
                </wp:positionH>
                <wp:positionV relativeFrom="paragraph">
                  <wp:posOffset>189496</wp:posOffset>
                </wp:positionV>
                <wp:extent cx="2171700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21717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71700" h="9525">
                              <a:moveTo>
                                <a:pt x="21716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2171699" y="0"/>
                              </a:lnTo>
                              <a:lnTo>
                                <a:pt x="21716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07.249969pt;margin-top:14.92095pt;width:170.999986pt;height:.75pt;mso-position-horizontal-relative:page;mso-position-vertical-relative:paragraph;z-index:-15727104;mso-wrap-distance-left:0;mso-wrap-distance-right:0" id="docshape6" filled="true" fillcolor="#33373c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65"/>
      </w:pPr>
      <w:r>
        <w:rPr>
          <w:color w:val="33373C"/>
          <w:w w:val="130"/>
        </w:rPr>
        <w:t>Key</w:t>
      </w:r>
      <w:r>
        <w:rPr>
          <w:color w:val="33373C"/>
          <w:spacing w:val="-10"/>
          <w:w w:val="130"/>
        </w:rPr>
        <w:t> </w:t>
      </w:r>
      <w:r>
        <w:rPr>
          <w:color w:val="33373C"/>
          <w:spacing w:val="-2"/>
          <w:w w:val="130"/>
        </w:rPr>
        <w:t>Skills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260" w:after="0"/>
        <w:ind w:left="423" w:right="0" w:hanging="358"/>
        <w:jc w:val="left"/>
        <w:rPr>
          <w:sz w:val="22"/>
        </w:rPr>
      </w:pPr>
      <w:r>
        <w:rPr>
          <w:color w:val="58585B"/>
          <w:spacing w:val="-2"/>
          <w:w w:val="110"/>
          <w:sz w:val="22"/>
        </w:rPr>
        <w:t>HIPAA</w:t>
      </w:r>
      <w:r>
        <w:rPr>
          <w:color w:val="58585B"/>
          <w:spacing w:val="-15"/>
          <w:w w:val="110"/>
          <w:sz w:val="22"/>
        </w:rPr>
        <w:t> </w:t>
      </w:r>
      <w:r>
        <w:rPr>
          <w:color w:val="58585B"/>
          <w:spacing w:val="-2"/>
          <w:w w:val="110"/>
          <w:sz w:val="22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5" w:after="0"/>
        <w:ind w:left="423" w:right="0" w:hanging="358"/>
        <w:jc w:val="left"/>
        <w:rPr>
          <w:sz w:val="22"/>
        </w:rPr>
      </w:pPr>
      <w:r>
        <w:rPr>
          <w:color w:val="58585B"/>
          <w:w w:val="105"/>
          <w:sz w:val="22"/>
        </w:rPr>
        <w:t>Stark</w:t>
      </w:r>
      <w:r>
        <w:rPr>
          <w:color w:val="58585B"/>
          <w:spacing w:val="-13"/>
          <w:w w:val="105"/>
          <w:sz w:val="22"/>
        </w:rPr>
        <w:t> </w:t>
      </w:r>
      <w:r>
        <w:rPr>
          <w:color w:val="58585B"/>
          <w:w w:val="105"/>
          <w:sz w:val="22"/>
        </w:rPr>
        <w:t>Law</w:t>
      </w:r>
      <w:r>
        <w:rPr>
          <w:color w:val="58585B"/>
          <w:spacing w:val="-18"/>
          <w:w w:val="105"/>
          <w:sz w:val="22"/>
        </w:rPr>
        <w:t> </w:t>
      </w:r>
      <w:r>
        <w:rPr>
          <w:color w:val="58585B"/>
          <w:w w:val="105"/>
          <w:sz w:val="22"/>
        </w:rPr>
        <w:t>and</w:t>
      </w:r>
      <w:r>
        <w:rPr>
          <w:color w:val="58585B"/>
          <w:spacing w:val="-20"/>
          <w:w w:val="105"/>
          <w:sz w:val="22"/>
        </w:rPr>
        <w:t> </w:t>
      </w:r>
      <w:r>
        <w:rPr>
          <w:color w:val="58585B"/>
          <w:w w:val="105"/>
          <w:sz w:val="22"/>
        </w:rPr>
        <w:t>Anti-</w:t>
      </w:r>
      <w:r>
        <w:rPr>
          <w:color w:val="58585B"/>
          <w:spacing w:val="-2"/>
          <w:w w:val="105"/>
          <w:sz w:val="22"/>
        </w:rPr>
        <w:t>Kickback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4" w:after="0"/>
        <w:ind w:left="423" w:right="0" w:hanging="358"/>
        <w:jc w:val="left"/>
        <w:rPr>
          <w:sz w:val="22"/>
        </w:rPr>
      </w:pPr>
      <w:r>
        <w:rPr>
          <w:color w:val="58585B"/>
          <w:w w:val="105"/>
          <w:sz w:val="22"/>
        </w:rPr>
        <w:t>Medicare/Medicaid</w:t>
      </w:r>
      <w:r>
        <w:rPr>
          <w:color w:val="58585B"/>
          <w:spacing w:val="35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audits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5" w:after="0"/>
        <w:ind w:left="423" w:right="0" w:hanging="358"/>
        <w:jc w:val="left"/>
        <w:rPr>
          <w:sz w:val="22"/>
        </w:rPr>
      </w:pPr>
      <w:r>
        <w:rPr>
          <w:color w:val="58585B"/>
          <w:spacing w:val="-2"/>
          <w:w w:val="105"/>
          <w:sz w:val="22"/>
        </w:rPr>
        <w:t>Health</w:t>
      </w:r>
      <w:r>
        <w:rPr>
          <w:color w:val="58585B"/>
          <w:spacing w:val="-12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care</w:t>
      </w:r>
      <w:r>
        <w:rPr>
          <w:color w:val="58585B"/>
          <w:spacing w:val="-11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contracts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4" w:after="0"/>
        <w:ind w:left="423" w:right="0" w:hanging="358"/>
        <w:jc w:val="left"/>
        <w:rPr>
          <w:sz w:val="22"/>
        </w:rPr>
      </w:pPr>
      <w:r>
        <w:rPr>
          <w:color w:val="58585B"/>
          <w:sz w:val="22"/>
        </w:rPr>
        <w:t>Provider</w:t>
      </w:r>
      <w:r>
        <w:rPr>
          <w:color w:val="58585B"/>
          <w:spacing w:val="8"/>
          <w:sz w:val="22"/>
        </w:rPr>
        <w:t> </w:t>
      </w:r>
      <w:r>
        <w:rPr>
          <w:color w:val="58585B"/>
          <w:spacing w:val="-2"/>
          <w:sz w:val="22"/>
        </w:rPr>
        <w:t>defense</w:t>
      </w:r>
    </w:p>
    <w:sectPr>
      <w:type w:val="continuous"/>
      <w:pgSz w:w="11920" w:h="16860"/>
      <w:pgMar w:top="780" w:bottom="280" w:left="283" w:right="0"/>
      <w:cols w:num="2" w:equalWidth="0">
        <w:col w:w="6373" w:space="1439"/>
        <w:col w:w="382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23" w:hanging="347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15" w:hanging="34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10" w:hanging="34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205" w:hanging="34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800" w:hanging="34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396" w:hanging="34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991" w:hanging="34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586" w:hanging="34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181" w:hanging="347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34"/>
      <w:ind w:left="423"/>
    </w:pPr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8"/>
      <w:ind w:left="51"/>
      <w:outlineLvl w:val="1"/>
    </w:pPr>
    <w:rPr>
      <w:rFonts w:ascii="Calibri" w:hAnsi="Calibri" w:eastAsia="Calibri" w:cs="Calibri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34"/>
      <w:ind w:left="423" w:hanging="35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hawn.white@email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2025-12-20T22:26:11Z</dcterms:created>
  <dcterms:modified xsi:type="dcterms:W3CDTF">2025-12-20T22:26:11Z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2025-12-20T00:00:00Z</vt:filetime>
  </property>
  <property fmtid="{D5CDD505-2E9C-101B-9397-08002B2CF9AE}" pid="5" name="Producer">
    <vt:lpwstr>Skia/PDF m121</vt:lpwstr>
  </property>
</Properties>
</file>