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  <w:spacing w:line="252" w:lineRule="auto"/>
      </w:pPr>
      <w:r>
        <w:rPr>
          <w:color w:val="FFFFFF"/>
          <w:spacing w:val="-2"/>
          <w:w w:val="125"/>
        </w:rPr>
        <w:t>LOGAN </w:t>
      </w:r>
      <w:r>
        <w:rPr>
          <w:color w:val="FFFFFF"/>
          <w:spacing w:val="-4"/>
          <w:w w:val="130"/>
        </w:rPr>
        <w:t>HALL</w:t>
      </w:r>
    </w:p>
    <w:p>
      <w:pPr>
        <w:pStyle w:val="Heading2"/>
        <w:spacing w:before="103"/>
      </w:pPr>
      <w:r>
        <w:rPr>
          <w:color w:val="FFFFFF"/>
          <w:spacing w:val="-2"/>
          <w:w w:val="130"/>
        </w:rPr>
        <w:t>Tax</w:t>
      </w:r>
      <w:r>
        <w:rPr>
          <w:color w:val="FFFFFF"/>
          <w:spacing w:val="-19"/>
          <w:w w:val="130"/>
        </w:rPr>
        <w:t> </w:t>
      </w:r>
      <w:r>
        <w:rPr>
          <w:color w:val="FFFFFF"/>
          <w:spacing w:val="-2"/>
          <w:w w:val="130"/>
        </w:rPr>
        <w:t>Lawyer</w:t>
      </w:r>
    </w:p>
    <w:p>
      <w:pPr>
        <w:pStyle w:val="BodyText"/>
        <w:spacing w:before="6"/>
        <w:rPr>
          <w:rFonts w:ascii="Calibri"/>
          <w:b/>
          <w:sz w:val="33"/>
        </w:rPr>
      </w:pPr>
    </w:p>
    <w:p>
      <w:pPr>
        <w:pStyle w:val="BodyText"/>
        <w:spacing w:line="280" w:lineRule="auto"/>
        <w:ind w:left="51"/>
      </w:pP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</w:rPr>
          <w:t>logan.hall@email.com</w:t>
        </w:r>
      </w:hyperlink>
    </w:p>
    <w:p>
      <w:pPr>
        <w:pStyle w:val="Heading3"/>
        <w:spacing w:line="280" w:lineRule="auto"/>
      </w:pPr>
      <w:r>
        <w:rPr>
          <w:b w:val="0"/>
        </w:rPr>
        <w:br w:type="column"/>
      </w:r>
      <w:r>
        <w:rPr>
          <w:color w:val="FFFFFF"/>
        </w:rPr>
        <w:t>Tax attorney</w:t>
      </w:r>
      <w:r>
        <w:rPr>
          <w:color w:val="FFFFFF"/>
          <w:spacing w:val="-3"/>
        </w:rPr>
        <w:t> </w:t>
      </w:r>
      <w:r>
        <w:rPr>
          <w:color w:val="FFFFFF"/>
        </w:rPr>
        <w:t>specializing in corporate, estate, and international </w:t>
      </w:r>
      <w:r>
        <w:rPr>
          <w:color w:val="FFFFFF"/>
          <w:spacing w:val="-2"/>
        </w:rPr>
        <w:t>taxation</w:t>
      </w:r>
    </w:p>
    <w:p>
      <w:pPr>
        <w:pStyle w:val="BodyText"/>
        <w:spacing w:line="280" w:lineRule="auto" w:before="107"/>
        <w:ind w:left="51" w:right="238"/>
      </w:pPr>
      <w:r>
        <w:rPr>
          <w:color w:val="FFFFFF"/>
          <w:w w:val="105"/>
        </w:rPr>
        <w:t>Tax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lawyer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8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handling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audits,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advising high-net-worth individuals, and supporting cross-border tax </w:t>
      </w:r>
      <w:r>
        <w:rPr>
          <w:color w:val="FFFFFF"/>
        </w:rPr>
        <w:t>planning. Expert in IRS regulations, estate planning, and transfer </w:t>
      </w:r>
      <w:r>
        <w:rPr>
          <w:color w:val="FFFFFF"/>
          <w:w w:val="105"/>
        </w:rPr>
        <w:t>pricing strategy.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283" w:right="425"/>
          <w:cols w:num="2" w:equalWidth="0">
            <w:col w:w="2724" w:space="1647"/>
            <w:col w:w="6841"/>
          </w:cols>
        </w:sectPr>
      </w:pPr>
    </w:p>
    <w:p>
      <w:pPr>
        <w:pStyle w:val="BodyText"/>
        <w:rPr>
          <w:sz w:val="33"/>
        </w:rPr>
      </w:pPr>
      <w:r>
        <w:rPr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9337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933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9337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933687"/>
                              </a:lnTo>
                              <a:lnTo>
                                <a:pt x="7568171" y="29336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1pt;mso-position-horizontal-relative:page;mso-position-vertical-relative:page;z-index:-15772672" id="docshape1" coordorigin="0,0" coordsize="11919,4620" path="m11918,0l0,0,0,510,0,525,0,4620,11918,4620,11918,525,11918,510,11918,0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134"/>
        <w:rPr>
          <w:sz w:val="33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-48093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3.786913pt;width:563.249955pt;height:.75pt;mso-position-horizontal-relative:page;mso-position-vertical-relative:paragraph;z-index:15729152" id="docshape2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color w:val="00BCA2"/>
          <w:w w:val="130"/>
        </w:rPr>
        <w:t>Key</w:t>
      </w:r>
      <w:r>
        <w:rPr>
          <w:color w:val="00BCA2"/>
          <w:spacing w:val="-3"/>
          <w:w w:val="130"/>
        </w:rPr>
        <w:t> </w:t>
      </w:r>
      <w:r>
        <w:rPr>
          <w:color w:val="00BCA2"/>
          <w:spacing w:val="-2"/>
          <w:w w:val="130"/>
        </w:rPr>
        <w:t>Skills</w:t>
      </w:r>
    </w:p>
    <w:p>
      <w:pPr>
        <w:pStyle w:val="BodyText"/>
        <w:tabs>
          <w:tab w:pos="423" w:val="left" w:leader="none"/>
        </w:tabs>
        <w:spacing w:before="200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</w:rPr>
        <w:t>Tax</w:t>
      </w:r>
      <w:r>
        <w:rPr>
          <w:color w:val="232323"/>
          <w:spacing w:val="-14"/>
        </w:rPr>
        <w:t> </w:t>
      </w:r>
      <w:r>
        <w:rPr>
          <w:color w:val="232323"/>
          <w:spacing w:val="-2"/>
        </w:rPr>
        <w:t>planning</w:t>
      </w:r>
    </w:p>
    <w:p>
      <w:pPr>
        <w:pStyle w:val="BodyText"/>
        <w:tabs>
          <w:tab w:pos="423" w:val="left" w:leader="none"/>
        </w:tabs>
        <w:spacing w:before="134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Estate</w:t>
      </w:r>
      <w:r>
        <w:rPr>
          <w:color w:val="232323"/>
          <w:spacing w:val="9"/>
        </w:rPr>
        <w:t> </w:t>
      </w:r>
      <w:r>
        <w:rPr>
          <w:color w:val="232323"/>
          <w:spacing w:val="-5"/>
        </w:rPr>
        <w:t>law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IRS</w:t>
      </w:r>
      <w:r>
        <w:rPr>
          <w:color w:val="232323"/>
          <w:spacing w:val="10"/>
          <w:w w:val="105"/>
        </w:rPr>
        <w:t> </w:t>
      </w:r>
      <w:r>
        <w:rPr>
          <w:color w:val="232323"/>
          <w:spacing w:val="-2"/>
          <w:w w:val="105"/>
        </w:rPr>
        <w:t>audits</w:t>
      </w:r>
    </w:p>
    <w:p>
      <w:pPr>
        <w:pStyle w:val="BodyText"/>
        <w:tabs>
          <w:tab w:pos="423" w:val="left" w:leader="none"/>
        </w:tabs>
        <w:spacing w:before="134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Transfer</w:t>
      </w:r>
      <w:r>
        <w:rPr>
          <w:color w:val="232323"/>
          <w:spacing w:val="-16"/>
        </w:rPr>
        <w:t> </w:t>
      </w:r>
      <w:r>
        <w:rPr>
          <w:color w:val="232323"/>
          <w:spacing w:val="-2"/>
        </w:rPr>
        <w:t>pricing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Cross-border</w:t>
      </w:r>
      <w:r>
        <w:rPr>
          <w:color w:val="232323"/>
          <w:spacing w:val="20"/>
          <w:w w:val="105"/>
        </w:rPr>
        <w:t> </w:t>
      </w:r>
      <w:r>
        <w:rPr>
          <w:color w:val="232323"/>
          <w:spacing w:val="-2"/>
          <w:w w:val="105"/>
        </w:rPr>
        <w:t>taxation</w:t>
      </w:r>
    </w:p>
    <w:p>
      <w:pPr>
        <w:pStyle w:val="BodyText"/>
        <w:spacing w:before="131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-47793</wp:posOffset>
                </wp:positionV>
                <wp:extent cx="715327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3.763292pt;width:563.249955pt;height:.75pt;mso-position-horizontal-relative:page;mso-position-vertical-relative:paragraph;z-index:15729664" id="docshape3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color w:val="00BCA2"/>
          <w:w w:val="125"/>
        </w:rPr>
        <w:t>Professional</w:t>
      </w:r>
      <w:r>
        <w:rPr>
          <w:color w:val="00BCA2"/>
          <w:spacing w:val="56"/>
          <w:w w:val="130"/>
        </w:rPr>
        <w:t> </w:t>
      </w:r>
      <w:r>
        <w:rPr>
          <w:color w:val="00BCA2"/>
          <w:spacing w:val="-2"/>
          <w:w w:val="130"/>
        </w:rPr>
        <w:t>Experience</w:t>
      </w:r>
    </w:p>
    <w:p>
      <w:pPr>
        <w:tabs>
          <w:tab w:pos="2580" w:val="left" w:leader="none"/>
        </w:tabs>
        <w:spacing w:before="197"/>
        <w:ind w:left="51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4"/>
          <w:w w:val="110"/>
          <w:sz w:val="22"/>
        </w:rPr>
        <w:t>Senior</w:t>
      </w:r>
      <w:r>
        <w:rPr>
          <w:rFonts w:ascii="Calibri"/>
          <w:b/>
          <w:color w:val="232323"/>
          <w:spacing w:val="62"/>
          <w:w w:val="110"/>
          <w:sz w:val="22"/>
        </w:rPr>
        <w:t> </w:t>
      </w:r>
      <w:r>
        <w:rPr>
          <w:rFonts w:ascii="Calibri"/>
          <w:b/>
          <w:color w:val="232323"/>
          <w:spacing w:val="4"/>
          <w:w w:val="110"/>
          <w:sz w:val="22"/>
        </w:rPr>
        <w:t>Tax</w:t>
      </w:r>
      <w:r>
        <w:rPr>
          <w:rFonts w:ascii="Calibri"/>
          <w:b/>
          <w:color w:val="232323"/>
          <w:spacing w:val="63"/>
          <w:w w:val="110"/>
          <w:sz w:val="22"/>
        </w:rPr>
        <w:t> </w:t>
      </w:r>
      <w:r>
        <w:rPr>
          <w:rFonts w:ascii="Calibri"/>
          <w:b/>
          <w:color w:val="232323"/>
          <w:spacing w:val="-2"/>
          <w:w w:val="105"/>
          <w:sz w:val="22"/>
        </w:rPr>
        <w:t>Attorney</w:t>
      </w:r>
      <w:r>
        <w:rPr>
          <w:rFonts w:ascii="Calibri"/>
          <w:b/>
          <w:color w:val="232323"/>
          <w:sz w:val="22"/>
        </w:rPr>
        <w:tab/>
      </w:r>
      <w:r>
        <w:rPr>
          <w:i/>
          <w:color w:val="232323"/>
          <w:sz w:val="22"/>
        </w:rPr>
        <w:t>Harrington</w:t>
      </w:r>
      <w:r>
        <w:rPr>
          <w:i/>
          <w:color w:val="232323"/>
          <w:spacing w:val="-17"/>
          <w:sz w:val="22"/>
        </w:rPr>
        <w:t> </w:t>
      </w:r>
      <w:r>
        <w:rPr>
          <w:i/>
          <w:color w:val="232323"/>
          <w:sz w:val="22"/>
        </w:rPr>
        <w:t>&amp;</w:t>
      </w:r>
      <w:r>
        <w:rPr>
          <w:i/>
          <w:color w:val="232323"/>
          <w:spacing w:val="-17"/>
          <w:sz w:val="22"/>
        </w:rPr>
        <w:t> </w:t>
      </w:r>
      <w:r>
        <w:rPr>
          <w:i/>
          <w:color w:val="232323"/>
          <w:sz w:val="22"/>
        </w:rPr>
        <w:t>Chase</w:t>
      </w:r>
      <w:r>
        <w:rPr>
          <w:i/>
          <w:color w:val="232323"/>
          <w:spacing w:val="-14"/>
          <w:sz w:val="22"/>
        </w:rPr>
        <w:t> </w:t>
      </w:r>
      <w:r>
        <w:rPr>
          <w:i/>
          <w:color w:val="232323"/>
          <w:sz w:val="22"/>
        </w:rPr>
        <w:t>LLP,</w:t>
      </w:r>
      <w:r>
        <w:rPr>
          <w:i/>
          <w:color w:val="232323"/>
          <w:spacing w:val="-14"/>
          <w:sz w:val="22"/>
        </w:rPr>
        <w:t> </w:t>
      </w:r>
      <w:r>
        <w:rPr>
          <w:i/>
          <w:color w:val="232323"/>
          <w:sz w:val="22"/>
        </w:rPr>
        <w:t>Minneapolis,</w:t>
      </w:r>
      <w:r>
        <w:rPr>
          <w:i/>
          <w:color w:val="232323"/>
          <w:spacing w:val="-15"/>
          <w:sz w:val="22"/>
        </w:rPr>
        <w:t> </w:t>
      </w:r>
      <w:r>
        <w:rPr>
          <w:i/>
          <w:color w:val="232323"/>
          <w:sz w:val="22"/>
        </w:rPr>
        <w:t>MN</w:t>
      </w:r>
      <w:r>
        <w:rPr>
          <w:i/>
          <w:color w:val="232323"/>
          <w:spacing w:val="-14"/>
          <w:sz w:val="22"/>
        </w:rPr>
        <w:t> </w:t>
      </w:r>
      <w:r>
        <w:rPr>
          <w:i/>
          <w:color w:val="232323"/>
          <w:w w:val="95"/>
          <w:sz w:val="22"/>
        </w:rPr>
        <w:t>|</w:t>
      </w:r>
      <w:r>
        <w:rPr>
          <w:i/>
          <w:color w:val="232323"/>
          <w:spacing w:val="-14"/>
          <w:w w:val="95"/>
          <w:sz w:val="22"/>
        </w:rPr>
        <w:t> </w:t>
      </w:r>
      <w:r>
        <w:rPr>
          <w:i/>
          <w:color w:val="232323"/>
          <w:sz w:val="22"/>
        </w:rPr>
        <w:t>July</w:t>
      </w:r>
      <w:r>
        <w:rPr>
          <w:i/>
          <w:color w:val="232323"/>
          <w:spacing w:val="-16"/>
          <w:sz w:val="22"/>
        </w:rPr>
        <w:t> </w:t>
      </w:r>
      <w:r>
        <w:rPr>
          <w:i/>
          <w:color w:val="232323"/>
          <w:sz w:val="22"/>
        </w:rPr>
        <w:t>2018</w:t>
      </w:r>
      <w:r>
        <w:rPr>
          <w:i/>
          <w:color w:val="232323"/>
          <w:spacing w:val="-15"/>
          <w:sz w:val="22"/>
        </w:rPr>
        <w:t> </w:t>
      </w:r>
      <w:r>
        <w:rPr>
          <w:i/>
          <w:color w:val="232323"/>
          <w:sz w:val="22"/>
        </w:rPr>
        <w:t>-</w:t>
      </w:r>
      <w:r>
        <w:rPr>
          <w:i/>
          <w:color w:val="232323"/>
          <w:spacing w:val="-14"/>
          <w:sz w:val="22"/>
        </w:rPr>
        <w:t> </w:t>
      </w:r>
      <w:r>
        <w:rPr>
          <w:i/>
          <w:color w:val="232323"/>
          <w:spacing w:val="-2"/>
          <w:sz w:val="22"/>
        </w:rPr>
        <w:t>Present</w:t>
      </w:r>
    </w:p>
    <w:p>
      <w:pPr>
        <w:pStyle w:val="BodyText"/>
        <w:tabs>
          <w:tab w:pos="423" w:val="left" w:leader="none"/>
        </w:tabs>
        <w:spacing w:before="139"/>
        <w:ind w:left="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Saved</w:t>
      </w:r>
      <w:r>
        <w:rPr>
          <w:color w:val="232323"/>
          <w:spacing w:val="13"/>
        </w:rPr>
        <w:t> </w:t>
      </w:r>
      <w:r>
        <w:rPr>
          <w:color w:val="232323"/>
        </w:rPr>
        <w:t>clients</w:t>
      </w:r>
      <w:r>
        <w:rPr>
          <w:color w:val="232323"/>
          <w:spacing w:val="13"/>
        </w:rPr>
        <w:t> </w:t>
      </w:r>
      <w:r>
        <w:rPr>
          <w:color w:val="232323"/>
        </w:rPr>
        <w:t>over</w:t>
      </w:r>
      <w:r>
        <w:rPr>
          <w:color w:val="232323"/>
          <w:spacing w:val="7"/>
        </w:rPr>
        <w:t> </w:t>
      </w:r>
      <w:r>
        <w:rPr>
          <w:color w:val="232323"/>
        </w:rPr>
        <w:t>$4</w:t>
      </w:r>
      <w:r>
        <w:rPr>
          <w:color w:val="232323"/>
          <w:spacing w:val="13"/>
        </w:rPr>
        <w:t> </w:t>
      </w:r>
      <w:r>
        <w:rPr>
          <w:color w:val="232323"/>
        </w:rPr>
        <w:t>million</w:t>
      </w:r>
      <w:r>
        <w:rPr>
          <w:color w:val="232323"/>
          <w:spacing w:val="14"/>
        </w:rPr>
        <w:t> </w:t>
      </w:r>
      <w:r>
        <w:rPr>
          <w:color w:val="232323"/>
        </w:rPr>
        <w:t>through</w:t>
      </w:r>
      <w:r>
        <w:rPr>
          <w:color w:val="232323"/>
          <w:spacing w:val="13"/>
        </w:rPr>
        <w:t> </w:t>
      </w:r>
      <w:r>
        <w:rPr>
          <w:color w:val="232323"/>
        </w:rPr>
        <w:t>estate</w:t>
      </w:r>
      <w:r>
        <w:rPr>
          <w:color w:val="232323"/>
          <w:spacing w:val="14"/>
        </w:rPr>
        <w:t> </w:t>
      </w:r>
      <w:r>
        <w:rPr>
          <w:color w:val="232323"/>
        </w:rPr>
        <w:t>restructuring</w:t>
      </w:r>
      <w:r>
        <w:rPr>
          <w:color w:val="232323"/>
          <w:spacing w:val="13"/>
        </w:rPr>
        <w:t> </w:t>
      </w:r>
      <w:r>
        <w:rPr>
          <w:color w:val="232323"/>
        </w:rPr>
        <w:t>and</w:t>
      </w:r>
      <w:r>
        <w:rPr>
          <w:color w:val="232323"/>
          <w:spacing w:val="14"/>
        </w:rPr>
        <w:t> </w:t>
      </w:r>
      <w:r>
        <w:rPr>
          <w:color w:val="232323"/>
        </w:rPr>
        <w:t>tax-efficient</w:t>
      </w:r>
      <w:r>
        <w:rPr>
          <w:color w:val="232323"/>
          <w:spacing w:val="13"/>
        </w:rPr>
        <w:t> </w:t>
      </w:r>
      <w:r>
        <w:rPr>
          <w:color w:val="232323"/>
        </w:rPr>
        <w:t>business</w:t>
      </w:r>
      <w:r>
        <w:rPr>
          <w:color w:val="232323"/>
          <w:spacing w:val="14"/>
        </w:rPr>
        <w:t> </w:t>
      </w:r>
      <w:r>
        <w:rPr>
          <w:color w:val="232323"/>
          <w:spacing w:val="-2"/>
        </w:rPr>
        <w:t>transitions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Represented</w:t>
      </w:r>
      <w:r>
        <w:rPr>
          <w:color w:val="232323"/>
          <w:spacing w:val="-16"/>
          <w:w w:val="105"/>
        </w:rPr>
        <w:t> </w:t>
      </w:r>
      <w:r>
        <w:rPr>
          <w:color w:val="232323"/>
          <w:w w:val="105"/>
        </w:rPr>
        <w:t>clients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during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IRS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audits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negotiated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payment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plans</w:t>
      </w:r>
      <w:r>
        <w:rPr>
          <w:color w:val="232323"/>
          <w:spacing w:val="-20"/>
          <w:w w:val="105"/>
        </w:rPr>
        <w:t> </w:t>
      </w:r>
      <w:r>
        <w:rPr>
          <w:color w:val="232323"/>
          <w:w w:val="105"/>
        </w:rPr>
        <w:t>with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federal</w:t>
      </w:r>
      <w:r>
        <w:rPr>
          <w:color w:val="232323"/>
          <w:spacing w:val="-20"/>
          <w:w w:val="105"/>
        </w:rPr>
        <w:t> </w:t>
      </w:r>
      <w:r>
        <w:rPr>
          <w:color w:val="232323"/>
          <w:spacing w:val="-2"/>
          <w:w w:val="105"/>
        </w:rPr>
        <w:t>agencies</w:t>
      </w:r>
    </w:p>
    <w:p>
      <w:pPr>
        <w:pStyle w:val="BodyText"/>
        <w:tabs>
          <w:tab w:pos="423" w:val="left" w:leader="none"/>
        </w:tabs>
        <w:spacing w:before="135"/>
        <w:ind w:left="76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Advised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multinational</w:t>
      </w:r>
      <w:r>
        <w:rPr>
          <w:color w:val="232323"/>
          <w:spacing w:val="-20"/>
          <w:w w:val="105"/>
        </w:rPr>
        <w:t> </w:t>
      </w:r>
      <w:r>
        <w:rPr>
          <w:color w:val="232323"/>
          <w:w w:val="105"/>
        </w:rPr>
        <w:t>companies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on</w:t>
      </w:r>
      <w:r>
        <w:rPr>
          <w:color w:val="232323"/>
          <w:spacing w:val="-16"/>
          <w:w w:val="105"/>
        </w:rPr>
        <w:t> </w:t>
      </w:r>
      <w:r>
        <w:rPr>
          <w:color w:val="232323"/>
          <w:w w:val="105"/>
        </w:rPr>
        <w:t>permanent</w:t>
      </w:r>
      <w:r>
        <w:rPr>
          <w:color w:val="232323"/>
          <w:spacing w:val="-16"/>
          <w:w w:val="105"/>
        </w:rPr>
        <w:t> </w:t>
      </w:r>
      <w:r>
        <w:rPr>
          <w:color w:val="232323"/>
          <w:w w:val="105"/>
        </w:rPr>
        <w:t>establishment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risk</w:t>
      </w:r>
      <w:r>
        <w:rPr>
          <w:color w:val="232323"/>
          <w:spacing w:val="-16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6"/>
          <w:w w:val="105"/>
        </w:rPr>
        <w:t> </w:t>
      </w:r>
      <w:r>
        <w:rPr>
          <w:color w:val="232323"/>
          <w:w w:val="105"/>
        </w:rPr>
        <w:t>offshore</w:t>
      </w:r>
      <w:r>
        <w:rPr>
          <w:color w:val="232323"/>
          <w:spacing w:val="-16"/>
          <w:w w:val="105"/>
        </w:rPr>
        <w:t> </w:t>
      </w:r>
      <w:r>
        <w:rPr>
          <w:color w:val="232323"/>
          <w:spacing w:val="-2"/>
          <w:w w:val="105"/>
        </w:rPr>
        <w:t>compliance</w:t>
      </w:r>
    </w:p>
    <w:p>
      <w:pPr>
        <w:pStyle w:val="BodyText"/>
        <w:spacing w:before="11"/>
      </w:pPr>
    </w:p>
    <w:p>
      <w:pPr>
        <w:tabs>
          <w:tab w:pos="2956" w:val="left" w:leader="none"/>
        </w:tabs>
        <w:spacing w:before="0"/>
        <w:ind w:left="51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8"/>
          <w:w w:val="110"/>
          <w:sz w:val="22"/>
        </w:rPr>
        <w:t>Tax</w:t>
      </w:r>
      <w:r>
        <w:rPr>
          <w:rFonts w:ascii="Calibri"/>
          <w:b/>
          <w:color w:val="232323"/>
          <w:spacing w:val="63"/>
          <w:w w:val="110"/>
          <w:sz w:val="22"/>
        </w:rPr>
        <w:t> </w:t>
      </w:r>
      <w:r>
        <w:rPr>
          <w:rFonts w:ascii="Calibri"/>
          <w:b/>
          <w:color w:val="232323"/>
          <w:spacing w:val="8"/>
          <w:w w:val="110"/>
          <w:sz w:val="22"/>
        </w:rPr>
        <w:t>Associate</w:t>
      </w:r>
      <w:r>
        <w:rPr>
          <w:rFonts w:ascii="Calibri"/>
          <w:b/>
          <w:color w:val="232323"/>
          <w:spacing w:val="63"/>
          <w:w w:val="110"/>
          <w:sz w:val="22"/>
        </w:rPr>
        <w:t> </w:t>
      </w:r>
      <w:r>
        <w:rPr>
          <w:rFonts w:ascii="Calibri"/>
          <w:b/>
          <w:color w:val="232323"/>
          <w:spacing w:val="-2"/>
          <w:w w:val="110"/>
          <w:sz w:val="22"/>
        </w:rPr>
        <w:t>Attorney</w:t>
      </w:r>
      <w:r>
        <w:rPr>
          <w:rFonts w:ascii="Calibri"/>
          <w:b/>
          <w:color w:val="232323"/>
          <w:sz w:val="22"/>
        </w:rPr>
        <w:tab/>
      </w:r>
      <w:r>
        <w:rPr>
          <w:i/>
          <w:color w:val="232323"/>
          <w:sz w:val="22"/>
        </w:rPr>
        <w:t>Thompson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z w:val="22"/>
        </w:rPr>
        <w:t>&amp;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z w:val="22"/>
        </w:rPr>
        <w:t>Lane,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z w:val="22"/>
        </w:rPr>
        <w:t>Minneapolis,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z w:val="22"/>
        </w:rPr>
        <w:t>MN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w w:val="95"/>
          <w:sz w:val="22"/>
        </w:rPr>
        <w:t>|</w:t>
      </w:r>
      <w:r>
        <w:rPr>
          <w:i/>
          <w:color w:val="232323"/>
          <w:spacing w:val="-5"/>
          <w:w w:val="95"/>
          <w:sz w:val="22"/>
        </w:rPr>
        <w:t> </w:t>
      </w:r>
      <w:r>
        <w:rPr>
          <w:i/>
          <w:color w:val="232323"/>
          <w:sz w:val="22"/>
        </w:rPr>
        <w:t>September</w:t>
      </w:r>
      <w:r>
        <w:rPr>
          <w:i/>
          <w:color w:val="232323"/>
          <w:spacing w:val="-13"/>
          <w:sz w:val="22"/>
        </w:rPr>
        <w:t> </w:t>
      </w:r>
      <w:r>
        <w:rPr>
          <w:i/>
          <w:color w:val="232323"/>
          <w:sz w:val="22"/>
        </w:rPr>
        <w:t>2015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z w:val="22"/>
        </w:rPr>
        <w:t>-</w:t>
      </w:r>
      <w:r>
        <w:rPr>
          <w:i/>
          <w:color w:val="232323"/>
          <w:spacing w:val="-15"/>
          <w:sz w:val="22"/>
        </w:rPr>
        <w:t> </w:t>
      </w:r>
      <w:r>
        <w:rPr>
          <w:i/>
          <w:color w:val="232323"/>
          <w:sz w:val="22"/>
        </w:rPr>
        <w:t>June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4"/>
          <w:sz w:val="22"/>
        </w:rPr>
        <w:t>2018</w:t>
      </w:r>
    </w:p>
    <w:p>
      <w:pPr>
        <w:pStyle w:val="BodyText"/>
        <w:tabs>
          <w:tab w:pos="423" w:val="left" w:leader="none"/>
        </w:tabs>
        <w:spacing w:before="139"/>
        <w:ind w:left="7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Prepared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legal</w:t>
      </w:r>
      <w:r>
        <w:rPr>
          <w:color w:val="232323"/>
          <w:spacing w:val="-20"/>
          <w:w w:val="105"/>
        </w:rPr>
        <w:t> </w:t>
      </w:r>
      <w:r>
        <w:rPr>
          <w:color w:val="232323"/>
          <w:w w:val="105"/>
        </w:rPr>
        <w:t>memoranda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handled</w:t>
      </w:r>
      <w:r>
        <w:rPr>
          <w:color w:val="232323"/>
          <w:spacing w:val="-12"/>
          <w:w w:val="105"/>
        </w:rPr>
        <w:t> </w:t>
      </w:r>
      <w:r>
        <w:rPr>
          <w:color w:val="232323"/>
          <w:w w:val="105"/>
        </w:rPr>
        <w:t>tax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court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filings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on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behalf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of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small</w:t>
      </w:r>
      <w:r>
        <w:rPr>
          <w:color w:val="232323"/>
          <w:spacing w:val="-20"/>
          <w:w w:val="105"/>
        </w:rPr>
        <w:t> </w:t>
      </w:r>
      <w:r>
        <w:rPr>
          <w:color w:val="232323"/>
          <w:spacing w:val="-2"/>
          <w:w w:val="105"/>
        </w:rPr>
        <w:t>businesses</w:t>
      </w:r>
    </w:p>
    <w:p>
      <w:pPr>
        <w:pStyle w:val="BodyText"/>
        <w:spacing w:before="116"/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-47563</wp:posOffset>
                </wp:positionV>
                <wp:extent cx="7153275" cy="95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3.745141pt;width:563.249955pt;height:.75pt;mso-position-horizontal-relative:page;mso-position-vertical-relative:paragraph;z-index:15730176" id="docshape4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color w:val="00BCA2"/>
          <w:spacing w:val="-2"/>
          <w:w w:val="130"/>
        </w:rPr>
        <w:t>Education</w:t>
      </w:r>
    </w:p>
    <w:p>
      <w:pPr>
        <w:tabs>
          <w:tab w:pos="2335" w:val="left" w:leader="none"/>
        </w:tabs>
        <w:spacing w:before="211"/>
        <w:ind w:left="51" w:right="0" w:firstLine="0"/>
        <w:jc w:val="left"/>
        <w:rPr>
          <w:sz w:val="22"/>
        </w:rPr>
      </w:pPr>
      <w:r>
        <w:rPr>
          <w:rFonts w:ascii="Calibri"/>
          <w:b/>
          <w:color w:val="232323"/>
          <w:spacing w:val="4"/>
          <w:w w:val="115"/>
          <w:sz w:val="22"/>
        </w:rPr>
        <w:t>Juris</w:t>
      </w:r>
      <w:r>
        <w:rPr>
          <w:rFonts w:ascii="Calibri"/>
          <w:b/>
          <w:color w:val="232323"/>
          <w:spacing w:val="61"/>
          <w:w w:val="115"/>
          <w:sz w:val="22"/>
        </w:rPr>
        <w:t> </w:t>
      </w:r>
      <w:r>
        <w:rPr>
          <w:rFonts w:ascii="Calibri"/>
          <w:b/>
          <w:color w:val="232323"/>
          <w:spacing w:val="4"/>
          <w:w w:val="115"/>
          <w:sz w:val="22"/>
        </w:rPr>
        <w:t>Doctor</w:t>
      </w:r>
      <w:r>
        <w:rPr>
          <w:rFonts w:ascii="Calibri"/>
          <w:b/>
          <w:color w:val="232323"/>
          <w:spacing w:val="61"/>
          <w:w w:val="115"/>
          <w:sz w:val="22"/>
        </w:rPr>
        <w:t> </w:t>
      </w:r>
      <w:r>
        <w:rPr>
          <w:rFonts w:ascii="Calibri"/>
          <w:b/>
          <w:color w:val="232323"/>
          <w:spacing w:val="-2"/>
          <w:w w:val="105"/>
          <w:sz w:val="22"/>
        </w:rPr>
        <w:t>(J.D.)</w:t>
      </w:r>
      <w:r>
        <w:rPr>
          <w:rFonts w:ascii="Calibri"/>
          <w:b/>
          <w:color w:val="232323"/>
          <w:sz w:val="22"/>
        </w:rPr>
        <w:tab/>
      </w:r>
      <w:r>
        <w:rPr>
          <w:color w:val="232323"/>
          <w:w w:val="105"/>
          <w:sz w:val="22"/>
        </w:rPr>
        <w:t>University</w:t>
      </w:r>
      <w:r>
        <w:rPr>
          <w:color w:val="232323"/>
          <w:spacing w:val="-20"/>
          <w:w w:val="105"/>
          <w:sz w:val="22"/>
        </w:rPr>
        <w:t> </w:t>
      </w:r>
      <w:r>
        <w:rPr>
          <w:color w:val="232323"/>
          <w:w w:val="105"/>
          <w:sz w:val="22"/>
        </w:rPr>
        <w:t>of</w:t>
      </w:r>
      <w:r>
        <w:rPr>
          <w:color w:val="232323"/>
          <w:spacing w:val="-18"/>
          <w:w w:val="105"/>
          <w:sz w:val="22"/>
        </w:rPr>
        <w:t> </w:t>
      </w:r>
      <w:r>
        <w:rPr>
          <w:color w:val="232323"/>
          <w:w w:val="105"/>
          <w:sz w:val="22"/>
        </w:rPr>
        <w:t>Minnesota</w:t>
      </w:r>
      <w:r>
        <w:rPr>
          <w:color w:val="232323"/>
          <w:spacing w:val="-16"/>
          <w:w w:val="105"/>
          <w:sz w:val="22"/>
        </w:rPr>
        <w:t> </w:t>
      </w:r>
      <w:r>
        <w:rPr>
          <w:color w:val="232323"/>
          <w:w w:val="105"/>
          <w:sz w:val="22"/>
        </w:rPr>
        <w:t>Law</w:t>
      </w:r>
      <w:r>
        <w:rPr>
          <w:color w:val="232323"/>
          <w:spacing w:val="-19"/>
          <w:w w:val="105"/>
          <w:sz w:val="22"/>
        </w:rPr>
        <w:t> </w:t>
      </w:r>
      <w:r>
        <w:rPr>
          <w:color w:val="232323"/>
          <w:w w:val="105"/>
          <w:sz w:val="22"/>
        </w:rPr>
        <w:t>School</w:t>
      </w:r>
      <w:r>
        <w:rPr>
          <w:color w:val="232323"/>
          <w:spacing w:val="-21"/>
          <w:w w:val="105"/>
          <w:sz w:val="22"/>
        </w:rPr>
        <w:t> </w:t>
      </w:r>
      <w:r>
        <w:rPr>
          <w:color w:val="232323"/>
          <w:w w:val="85"/>
          <w:sz w:val="22"/>
        </w:rPr>
        <w:t>|</w:t>
      </w:r>
      <w:r>
        <w:rPr>
          <w:color w:val="232323"/>
          <w:spacing w:val="-14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2015</w:t>
      </w:r>
    </w:p>
    <w:p>
      <w:pPr>
        <w:pStyle w:val="BodyText"/>
        <w:spacing w:before="1"/>
      </w:pPr>
    </w:p>
    <w:p>
      <w:pPr>
        <w:tabs>
          <w:tab w:pos="4298" w:val="left" w:leader="none"/>
        </w:tabs>
        <w:spacing w:before="0"/>
        <w:ind w:left="51" w:right="0" w:firstLine="0"/>
        <w:jc w:val="left"/>
        <w:rPr>
          <w:sz w:val="22"/>
        </w:rPr>
      </w:pPr>
      <w:r>
        <w:rPr>
          <w:rFonts w:ascii="Calibri" w:hAnsi="Calibri"/>
          <w:b/>
          <w:color w:val="232323"/>
          <w:w w:val="120"/>
          <w:sz w:val="22"/>
        </w:rPr>
        <w:t>Bachelor</w:t>
      </w:r>
      <w:r>
        <w:rPr>
          <w:rFonts w:ascii="Calibri" w:hAnsi="Calibri"/>
          <w:b/>
          <w:color w:val="232323"/>
          <w:spacing w:val="46"/>
          <w:w w:val="120"/>
          <w:sz w:val="22"/>
        </w:rPr>
        <w:t> </w:t>
      </w:r>
      <w:r>
        <w:rPr>
          <w:rFonts w:ascii="Calibri" w:hAnsi="Calibri"/>
          <w:b/>
          <w:color w:val="232323"/>
          <w:w w:val="120"/>
          <w:sz w:val="22"/>
        </w:rPr>
        <w:t>of</w:t>
      </w:r>
      <w:r>
        <w:rPr>
          <w:rFonts w:ascii="Calibri" w:hAnsi="Calibri"/>
          <w:b/>
          <w:color w:val="232323"/>
          <w:spacing w:val="46"/>
          <w:w w:val="120"/>
          <w:sz w:val="22"/>
        </w:rPr>
        <w:t> </w:t>
      </w:r>
      <w:r>
        <w:rPr>
          <w:rFonts w:ascii="Calibri" w:hAnsi="Calibri"/>
          <w:b/>
          <w:color w:val="232323"/>
          <w:w w:val="120"/>
          <w:sz w:val="22"/>
        </w:rPr>
        <w:t>Science</w:t>
      </w:r>
      <w:r>
        <w:rPr>
          <w:rFonts w:ascii="Calibri" w:hAnsi="Calibri"/>
          <w:b/>
          <w:color w:val="232323"/>
          <w:spacing w:val="47"/>
          <w:w w:val="120"/>
          <w:sz w:val="22"/>
        </w:rPr>
        <w:t> </w:t>
      </w:r>
      <w:r>
        <w:rPr>
          <w:rFonts w:ascii="Calibri" w:hAnsi="Calibri"/>
          <w:b/>
          <w:color w:val="232323"/>
          <w:w w:val="120"/>
          <w:sz w:val="22"/>
        </w:rPr>
        <w:t>in</w:t>
      </w:r>
      <w:r>
        <w:rPr>
          <w:rFonts w:ascii="Calibri" w:hAnsi="Calibri"/>
          <w:b/>
          <w:color w:val="232323"/>
          <w:spacing w:val="46"/>
          <w:w w:val="120"/>
          <w:sz w:val="22"/>
        </w:rPr>
        <w:t> </w:t>
      </w:r>
      <w:r>
        <w:rPr>
          <w:rFonts w:ascii="Calibri" w:hAnsi="Calibri"/>
          <w:b/>
          <w:color w:val="232323"/>
          <w:spacing w:val="-2"/>
          <w:w w:val="120"/>
          <w:sz w:val="22"/>
        </w:rPr>
        <w:t>Accounting</w:t>
      </w:r>
      <w:r>
        <w:rPr>
          <w:rFonts w:ascii="Calibri" w:hAnsi="Calibri"/>
          <w:b/>
          <w:color w:val="232323"/>
          <w:sz w:val="22"/>
        </w:rPr>
        <w:tab/>
      </w:r>
      <w:r>
        <w:rPr>
          <w:color w:val="232323"/>
          <w:w w:val="105"/>
          <w:sz w:val="22"/>
        </w:rPr>
        <w:t>University</w:t>
      </w:r>
      <w:r>
        <w:rPr>
          <w:color w:val="232323"/>
          <w:spacing w:val="-9"/>
          <w:w w:val="105"/>
          <w:sz w:val="22"/>
        </w:rPr>
        <w:t> </w:t>
      </w:r>
      <w:r>
        <w:rPr>
          <w:color w:val="232323"/>
          <w:w w:val="105"/>
          <w:sz w:val="22"/>
        </w:rPr>
        <w:t>of</w:t>
      </w:r>
      <w:r>
        <w:rPr>
          <w:color w:val="232323"/>
          <w:spacing w:val="-16"/>
          <w:w w:val="105"/>
          <w:sz w:val="22"/>
        </w:rPr>
        <w:t> </w:t>
      </w:r>
      <w:r>
        <w:rPr>
          <w:color w:val="232323"/>
          <w:w w:val="105"/>
          <w:sz w:val="22"/>
        </w:rPr>
        <w:t>Wisconsin–Madison</w:t>
      </w:r>
      <w:r>
        <w:rPr>
          <w:color w:val="232323"/>
          <w:spacing w:val="-1"/>
          <w:w w:val="105"/>
          <w:sz w:val="22"/>
        </w:rPr>
        <w:t> </w:t>
      </w:r>
      <w:r>
        <w:rPr>
          <w:color w:val="232323"/>
          <w:w w:val="85"/>
          <w:sz w:val="22"/>
        </w:rPr>
        <w:t>|</w:t>
      </w:r>
      <w:r>
        <w:rPr>
          <w:color w:val="232323"/>
          <w:spacing w:val="-1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2011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8"/>
      <w:ind w:left="51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3"/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2025-12-20T22:40:08Z</dcterms:created>
  <dcterms:modified xsi:type="dcterms:W3CDTF">2025-12-20T22:40:08Z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