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03"/>
        <w:rPr>
          <w:rFonts w:ascii="Times New Roman"/>
        </w:rPr>
      </w:pPr>
    </w:p>
    <w:p>
      <w:pPr>
        <w:spacing w:line="280" w:lineRule="auto" w:before="0"/>
        <w:ind w:left="1338" w:right="1309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-1907135</wp:posOffset>
                </wp:positionV>
                <wp:extent cx="7568565" cy="1762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62125"/>
                          <a:chExt cx="7568565" cy="1762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621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62125"/>
                                </a:lnTo>
                                <a:lnTo>
                                  <a:pt x="7568171" y="17621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52424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62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10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52"/>
                                </w:rPr>
                                <w:t>Chris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6"/>
                                  <w:w w:val="130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52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79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29"/>
                                </w:rPr>
                                <w:t>Corporate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2"/>
                                  <w:w w:val="13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9"/>
                                </w:rPr>
                                <w:t>Lawyer</w:t>
                              </w:r>
                            </w:p>
                            <w:p>
                              <w:pPr>
                                <w:spacing w:line="352" w:lineRule="auto" w:before="180"/>
                                <w:ind w:left="1338" w:right="7341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chris.jackson@email.com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0.168152pt;width:595.950pt;height:138.75pt;mso-position-horizontal-relative:page;mso-position-vertical-relative:paragraph;z-index:15728640" id="docshapegroup1" coordorigin="0,-3003" coordsize="11919,2775">
                <v:shape style="position:absolute;left:0;top:-3004;width:11919;height:2775" id="docshape2" coordorigin="0,-3003" coordsize="11919,2775" path="m11918,-3003l0,-3003,0,-2493,0,-2478,0,-228,11918,-228,11918,-2478,11918,-2493,11918,-3003xe" filled="true" fillcolor="#094d73" stroked="false">
                  <v:path arrowok="t"/>
                  <v:fill type="solid"/>
                </v:shape>
                <v:shape style="position:absolute;left:8775;top:-2449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04;width:11919;height:2775" type="#_x0000_t202" id="docshape4" filled="false" stroked="false">
                  <v:textbox inset="0,0,0,0">
                    <w:txbxContent>
                      <w:p>
                        <w:pPr>
                          <w:spacing w:before="510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5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52"/>
                          </w:rPr>
                          <w:t>Chris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6"/>
                            <w:w w:val="130"/>
                            <w:sz w:val="5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52"/>
                          </w:rPr>
                          <w:t>Jackson</w:t>
                        </w:r>
                      </w:p>
                      <w:p>
                        <w:pPr>
                          <w:spacing w:before="79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29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29"/>
                          </w:rPr>
                          <w:t>Corporate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2"/>
                            <w:w w:val="130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9"/>
                          </w:rPr>
                          <w:t>Lawyer</w:t>
                        </w:r>
                      </w:p>
                      <w:p>
                        <w:pPr>
                          <w:spacing w:line="352" w:lineRule="auto" w:before="180"/>
                          <w:ind w:left="1338" w:right="7341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chris.jackson@email.com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22"/>
        </w:rPr>
        <w:t>Experienced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corporate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attorney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focused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on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regulatory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compliance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risk </w:t>
      </w:r>
      <w:r>
        <w:rPr>
          <w:b/>
          <w:spacing w:val="-2"/>
          <w:w w:val="105"/>
          <w:sz w:val="22"/>
        </w:rPr>
        <w:t>management</w:t>
      </w:r>
    </w:p>
    <w:p>
      <w:pPr>
        <w:spacing w:line="280" w:lineRule="auto" w:before="107"/>
        <w:ind w:left="1338" w:right="1309" w:firstLine="0"/>
        <w:jc w:val="left"/>
        <w:rPr>
          <w:b/>
          <w:sz w:val="22"/>
        </w:rPr>
      </w:pPr>
      <w:r>
        <w:rPr>
          <w:b/>
          <w:w w:val="105"/>
          <w:sz w:val="22"/>
        </w:rPr>
        <w:t>Corporate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lawyer</w:t>
      </w:r>
      <w:r>
        <w:rPr>
          <w:b/>
          <w:spacing w:val="-27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9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advising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large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corporations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on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mergers and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acquisitions,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contract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negotiation,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regulatory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issues.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Proven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ability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lead complex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transactions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while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ensuring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legal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alignment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minimizing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risk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exposure.</w:t>
      </w:r>
    </w:p>
    <w:p>
      <w:pPr>
        <w:pStyle w:val="BodyText"/>
        <w:spacing w:before="4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111"/>
      </w:pPr>
      <w:r>
        <w:rPr>
          <w:color w:val="094D73"/>
          <w:w w:val="130"/>
        </w:rPr>
        <w:t>Key</w:t>
      </w:r>
      <w:r>
        <w:rPr>
          <w:color w:val="094D73"/>
          <w:spacing w:val="-10"/>
          <w:w w:val="130"/>
        </w:rPr>
        <w:t> </w:t>
      </w:r>
      <w:r>
        <w:rPr>
          <w:color w:val="094D73"/>
          <w:spacing w:val="-2"/>
          <w:w w:val="130"/>
        </w:rPr>
        <w:t>Skills</w:t>
      </w:r>
    </w:p>
    <w:p>
      <w:pPr>
        <w:pStyle w:val="BodyText"/>
        <w:spacing w:line="280" w:lineRule="auto" w:before="199"/>
        <w:ind w:left="1338"/>
      </w:pPr>
      <w:r>
        <w:rPr>
          <w:spacing w:val="-2"/>
        </w:rPr>
        <w:t>Contract negotiation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02"/>
      </w:pPr>
    </w:p>
    <w:p>
      <w:pPr>
        <w:pStyle w:val="BodyText"/>
        <w:spacing w:line="280" w:lineRule="auto"/>
        <w:ind w:left="1338" w:right="44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122004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0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9.606647pt;width:110.25pt;height:9pt;mso-position-horizontal-relative:page;mso-position-vertical-relative:paragraph;z-index:15729152" id="docshapegroup5" coordorigin="3480,192" coordsize="2205,180">
                <v:shape style="position:absolute;left:3487;top:199;width:2190;height:165" id="docshape6" coordorigin="3487,200" coordsize="2190,165" path="m3487,282l3487,277,3488,271,3489,266,3490,261,3492,256,3494,251,3496,246,3498,241,3501,236,3504,232,3508,228,3512,224,3515,220,3538,206,3543,204,3549,202,3554,201,3559,200,3565,200,3570,200,5595,200,5600,200,5606,200,5661,232,5677,282,5677,288,5664,328,5661,332,5641,351,5636,354,5600,365,5595,365,3570,365,3565,365,3559,364,3524,351,3520,348,3488,293,3487,288,3487,282xe" filled="false" stroked="true" strokeweight=".75pt" strokecolor="#094d73">
                  <v:path arrowok="t"/>
                  <v:stroke dashstyle="solid"/>
                </v:shape>
                <v:shape style="position:absolute;left:3495;top:207;width:2175;height:150" id="docshape7" coordorigin="3495,207" coordsize="2175,150" path="m5595,357l3570,357,3555,356,3500,311,3495,284,3496,279,3527,224,3572,207,5593,207,5650,235,5670,284,5669,297,5624,352,5595,357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122004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0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9.606647pt;width:110.25pt;height:9pt;mso-position-horizontal-relative:page;mso-position-vertical-relative:paragraph;z-index:15729664" id="docshapegroup8" coordorigin="8385,192" coordsize="2205,180">
                <v:shape style="position:absolute;left:8392;top:199;width:2190;height:165" id="docshape9" coordorigin="8392,200" coordsize="2190,165" path="m8392,282l8392,277,8393,271,8394,266,8395,261,8397,256,8399,251,8401,246,8403,241,8406,236,8409,232,8413,228,8417,224,8420,220,8443,206,8448,204,8454,202,8459,201,8464,200,8470,200,8475,200,10500,200,10505,200,10511,200,10558,224,10562,228,10566,232,10569,236,10572,241,10582,282,10582,288,10569,328,10566,332,10546,351,10541,354,10505,365,10500,365,8475,365,8470,365,8464,364,8459,363,8454,362,8448,360,8443,358,8438,356,8434,354,8429,351,8425,348,8420,344,8417,340,8413,337,8394,298,8393,293,8392,288,8392,282xe" filled="false" stroked="true" strokeweight=".75pt" strokecolor="#094d73">
                  <v:path arrowok="t"/>
                  <v:stroke dashstyle="solid"/>
                </v:shape>
                <v:shape style="position:absolute;left:8400;top:207;width:1740;height:150" id="docshape10" coordorigin="8400,207" coordsize="1740,150" path="m10105,357l8475,357,8460,356,8405,311,8400,284,8401,279,8432,224,8477,207,10063,207,10120,235,10140,295,10139,300,10108,355,10105,357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Corporate governance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3037" w:space="1864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before="93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2209799</wp:posOffset>
                </wp:positionH>
                <wp:positionV relativeFrom="paragraph">
                  <wp:posOffset>85332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6.719087pt;width:110.25pt;height:9pt;mso-position-horizontal-relative:page;mso-position-vertical-relative:paragraph;z-index:-15790592" id="docshapegroup11" coordorigin="3480,134" coordsize="2205,180">
                <v:shape style="position:absolute;left:3487;top:141;width:2190;height:165" id="docshape12" coordorigin="3487,142" coordsize="2190,165" path="m3487,224l3487,219,3488,214,3489,208,3490,203,3492,198,3494,193,3496,188,3524,156,3529,153,3533,150,3538,148,3543,146,3549,145,3554,143,3559,142,3565,142,3570,142,5595,142,5600,142,5606,142,5641,156,5645,159,5677,214,5677,224,5677,230,5650,287,5641,293,5636,296,5595,307,3570,307,3524,293,3520,290,3488,235,3487,230,3487,224xe" filled="false" stroked="true" strokeweight=".75pt" strokecolor="#094d73">
                  <v:path arrowok="t"/>
                  <v:stroke dashstyle="solid"/>
                </v:shape>
                <v:shape style="position:absolute;left:3495;top:149;width:1305;height:150" id="docshape13" coordorigin="3495,149" coordsize="1305,150" path="m4765,299l3570,299,3555,298,3500,253,3495,226,3496,221,3527,166,3572,149,4723,149,4780,177,4800,237,4799,243,4768,297,4765,299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85332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3" y="45540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6.719087pt;width:110.25pt;height:9pt;mso-position-horizontal-relative:page;mso-position-vertical-relative:paragraph;z-index:15730688" id="docshapegroup14" coordorigin="8385,134" coordsize="2205,180">
                <v:shape style="position:absolute;left:8392;top:141;width:2190;height:165" id="docshape15" coordorigin="8392,142" coordsize="2190,165" path="m8392,224l8392,219,8393,214,8394,208,8395,203,8397,198,8399,193,8401,188,8417,166,8420,162,8425,159,8429,156,8434,153,8438,150,8443,148,8448,146,8454,145,8459,143,8464,142,8470,142,8475,142,10500,142,10505,142,10511,142,10546,156,10550,159,10582,214,10582,224,10582,230,10569,270,10566,275,10546,293,10541,296,10500,307,8475,307,8429,293,8425,290,8420,287,8417,283,8413,279,8394,240,8393,235,8392,230,8392,224xe" filled="false" stroked="true" strokeweight=".75pt" strokecolor="#094d73">
                  <v:path arrowok="t"/>
                  <v:stroke dashstyle="solid"/>
                </v:shape>
                <v:shape style="position:absolute;left:8400;top:149;width:1305;height:150" id="docshape16" coordorigin="8400,149" coordsize="1305,150" path="m9670,299l8475,299,8460,298,8405,253,8400,226,8401,221,8432,166,8477,149,9628,149,9685,177,9705,237,9704,243,9673,297,9670,299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Due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diligence</w:t>
      </w:r>
      <w:r>
        <w:rPr/>
        <w:tab/>
      </w:r>
      <w:r>
        <w:rPr>
          <w:w w:val="105"/>
        </w:rPr>
        <w:t>Legal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spacing w:before="13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111717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8.796624pt;width:110.25pt;height:9pt;mso-position-horizontal-relative:page;mso-position-vertical-relative:paragraph;z-index:15731200" id="docshapegroup17" coordorigin="3480,176" coordsize="2205,180">
                <v:shape style="position:absolute;left:3487;top:183;width:2190;height:165" id="docshape18" coordorigin="3487,183" coordsize="2190,165" path="m3487,266l3487,261,3488,255,3489,250,3490,245,3492,239,3494,234,3496,229,3498,225,3501,220,3504,216,3508,211,3512,208,3515,204,3538,190,3543,188,3549,186,3554,185,3559,184,3565,183,3570,183,5595,183,5600,183,5606,184,5641,197,5645,200,5677,255,5677,266,5677,271,5650,328,5595,348,3570,348,3512,324,3489,282,3488,277,3487,271,3487,266xe" filled="false" stroked="true" strokeweight=".75pt" strokecolor="#094d73">
                  <v:path arrowok="t"/>
                  <v:stroke dashstyle="solid"/>
                </v:shape>
                <v:shape style="position:absolute;left:3495;top:190;width:870;height:150" id="docshape19" coordorigin="3495,191" coordsize="870,150" path="m4330,341l3570,341,3555,340,3500,295,3495,268,3496,263,3527,208,3572,191,4288,191,4345,219,4365,279,4364,284,4333,339,4330,341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2"/>
        </w:rPr>
        <w:t>Regulatory</w:t>
      </w:r>
      <w:r>
        <w:rPr>
          <w:spacing w:val="22"/>
        </w:rPr>
        <w:t> </w:t>
      </w:r>
      <w:r>
        <w:rPr>
          <w:spacing w:val="-2"/>
        </w:rPr>
        <w:t>filings</w:t>
      </w:r>
    </w:p>
    <w:p>
      <w:pPr>
        <w:pStyle w:val="BodyText"/>
        <w:spacing w:before="154"/>
        <w:rPr>
          <w:sz w:val="33"/>
        </w:rPr>
      </w:pPr>
    </w:p>
    <w:p>
      <w:pPr>
        <w:pStyle w:val="Heading1"/>
      </w:pPr>
      <w:r>
        <w:rPr>
          <w:color w:val="094D73"/>
          <w:w w:val="125"/>
        </w:rPr>
        <w:t>Professional</w:t>
      </w:r>
      <w:r>
        <w:rPr>
          <w:color w:val="094D73"/>
          <w:spacing w:val="31"/>
          <w:w w:val="130"/>
        </w:rPr>
        <w:t> </w:t>
      </w:r>
      <w:r>
        <w:rPr>
          <w:color w:val="094D73"/>
          <w:spacing w:val="-2"/>
          <w:w w:val="130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215"/>
        <w:ind w:left="1353" w:right="125"/>
      </w:pPr>
      <w:r>
        <w:rPr>
          <w:spacing w:val="-4"/>
          <w:w w:val="110"/>
        </w:rPr>
        <w:t>June </w:t>
      </w:r>
      <w:r>
        <w:rPr>
          <w:spacing w:val="-2"/>
          <w:w w:val="110"/>
        </w:rPr>
        <w:t>2020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-</w:t>
      </w:r>
    </w:p>
    <w:p>
      <w:pPr>
        <w:pStyle w:val="BodyText"/>
        <w:spacing w:before="2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BodyText"/>
        <w:spacing w:line="280" w:lineRule="auto"/>
        <w:ind w:left="1353"/>
      </w:pPr>
      <w:r>
        <w:rPr>
          <w:spacing w:val="-2"/>
          <w:w w:val="110"/>
        </w:rPr>
        <w:t>August </w:t>
      </w:r>
      <w:r>
        <w:rPr>
          <w:w w:val="110"/>
        </w:rPr>
        <w:t>2015</w:t>
      </w:r>
      <w:r>
        <w:rPr>
          <w:spacing w:val="-1"/>
          <w:w w:val="110"/>
        </w:rPr>
        <w:t> </w:t>
      </w:r>
      <w:r>
        <w:rPr>
          <w:w w:val="110"/>
        </w:rPr>
        <w:t>-</w:t>
      </w:r>
    </w:p>
    <w:p>
      <w:pPr>
        <w:pStyle w:val="BodyText"/>
        <w:spacing w:line="280" w:lineRule="auto" w:before="2"/>
        <w:ind w:left="1353" w:right="276"/>
      </w:pPr>
      <w:r>
        <w:rPr>
          <w:spacing w:val="-4"/>
          <w:w w:val="110"/>
        </w:rPr>
        <w:t>May 2020</w:t>
      </w:r>
    </w:p>
    <w:p>
      <w:pPr>
        <w:pStyle w:val="Heading2"/>
        <w:spacing w:before="197"/>
        <w:rPr>
          <w:rFonts w:ascii="Calibri"/>
        </w:rPr>
      </w:pPr>
      <w:r>
        <w:rPr>
          <w:b w:val="0"/>
        </w:rPr>
        <w:br w:type="column"/>
      </w:r>
      <w:r>
        <w:rPr>
          <w:rFonts w:ascii="Calibri"/>
          <w:w w:val="125"/>
        </w:rPr>
        <w:t>Senior</w:t>
      </w:r>
      <w:r>
        <w:rPr>
          <w:rFonts w:ascii="Calibri"/>
          <w:spacing w:val="4"/>
          <w:w w:val="125"/>
        </w:rPr>
        <w:t> </w:t>
      </w:r>
      <w:r>
        <w:rPr>
          <w:rFonts w:ascii="Calibri"/>
          <w:w w:val="125"/>
        </w:rPr>
        <w:t>Corporate</w:t>
      </w:r>
      <w:r>
        <w:rPr>
          <w:rFonts w:ascii="Calibri"/>
          <w:spacing w:val="4"/>
          <w:w w:val="125"/>
        </w:rPr>
        <w:t> </w:t>
      </w:r>
      <w:r>
        <w:rPr>
          <w:rFonts w:ascii="Calibri"/>
          <w:spacing w:val="-2"/>
          <w:w w:val="125"/>
        </w:rPr>
        <w:t>Counsel</w:t>
      </w:r>
    </w:p>
    <w:p>
      <w:pPr>
        <w:spacing w:before="109"/>
        <w:ind w:left="437" w:right="0" w:firstLine="0"/>
        <w:jc w:val="left"/>
        <w:rPr>
          <w:i/>
          <w:sz w:val="22"/>
        </w:rPr>
      </w:pPr>
      <w:r>
        <w:rPr>
          <w:i/>
          <w:sz w:val="22"/>
        </w:rPr>
        <w:t>Watershed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Group,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Chicago,</w:t>
      </w:r>
      <w:r>
        <w:rPr>
          <w:i/>
          <w:spacing w:val="-12"/>
          <w:sz w:val="22"/>
        </w:rPr>
        <w:t> </w:t>
      </w:r>
      <w:r>
        <w:rPr>
          <w:i/>
          <w:spacing w:val="-5"/>
          <w:sz w:val="22"/>
        </w:rPr>
        <w:t>IL</w:t>
      </w:r>
    </w:p>
    <w:p>
      <w:pPr>
        <w:pStyle w:val="BodyText"/>
        <w:tabs>
          <w:tab w:pos="735" w:val="left" w:leader="none"/>
        </w:tabs>
        <w:spacing w:line="280" w:lineRule="auto" w:before="150"/>
        <w:ind w:left="735" w:right="1987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Lead</w:t>
      </w:r>
      <w:r>
        <w:rPr>
          <w:spacing w:val="-7"/>
          <w:w w:val="105"/>
        </w:rPr>
        <w:t> </w:t>
      </w:r>
      <w:r>
        <w:rPr>
          <w:w w:val="105"/>
        </w:rPr>
        <w:t>M&amp;A</w:t>
      </w:r>
      <w:r>
        <w:rPr>
          <w:spacing w:val="-15"/>
          <w:w w:val="105"/>
        </w:rPr>
        <w:t> </w:t>
      </w:r>
      <w:r>
        <w:rPr>
          <w:w w:val="105"/>
        </w:rPr>
        <w:t>transactions</w:t>
      </w:r>
      <w:r>
        <w:rPr>
          <w:spacing w:val="-14"/>
          <w:w w:val="105"/>
        </w:rPr>
        <w:t> </w:t>
      </w:r>
      <w:r>
        <w:rPr>
          <w:w w:val="105"/>
        </w:rPr>
        <w:t>valued</w:t>
      </w:r>
      <w:r>
        <w:rPr>
          <w:spacing w:val="-7"/>
          <w:w w:val="105"/>
        </w:rPr>
        <w:t> </w:t>
      </w:r>
      <w:r>
        <w:rPr>
          <w:w w:val="105"/>
        </w:rPr>
        <w:t>at</w:t>
      </w:r>
      <w:r>
        <w:rPr>
          <w:spacing w:val="-7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$150</w:t>
      </w:r>
      <w:r>
        <w:rPr>
          <w:spacing w:val="-7"/>
          <w:w w:val="105"/>
        </w:rPr>
        <w:t> </w:t>
      </w:r>
      <w:r>
        <w:rPr>
          <w:w w:val="105"/>
        </w:rPr>
        <w:t>million,</w:t>
      </w:r>
      <w:r>
        <w:rPr>
          <w:spacing w:val="-7"/>
          <w:w w:val="105"/>
        </w:rPr>
        <w:t> </w:t>
      </w:r>
      <w:r>
        <w:rPr>
          <w:w w:val="105"/>
        </w:rPr>
        <w:t>managing</w:t>
      </w:r>
      <w:r>
        <w:rPr>
          <w:spacing w:val="-7"/>
          <w:w w:val="105"/>
        </w:rPr>
        <w:t> </w:t>
      </w:r>
      <w:r>
        <w:rPr>
          <w:w w:val="105"/>
        </w:rPr>
        <w:t>cross-functional legal teams and outside counsel</w:t>
      </w:r>
    </w:p>
    <w:p>
      <w:pPr>
        <w:pStyle w:val="BodyText"/>
        <w:tabs>
          <w:tab w:pos="735" w:val="left" w:leader="none"/>
        </w:tabs>
        <w:spacing w:line="280" w:lineRule="auto" w:before="92"/>
        <w:ind w:left="735" w:right="1762" w:hanging="27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Draft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review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all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corporate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contracts,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including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vendor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agreements, </w:t>
      </w:r>
      <w:r>
        <w:rPr>
          <w:w w:val="105"/>
        </w:rPr>
        <w:t>NDAs, and licensing terms</w:t>
      </w:r>
    </w:p>
    <w:p>
      <w:pPr>
        <w:pStyle w:val="BodyText"/>
        <w:tabs>
          <w:tab w:pos="735" w:val="left" w:leader="none"/>
        </w:tabs>
        <w:spacing w:line="280" w:lineRule="auto" w:before="92"/>
        <w:ind w:left="735" w:right="1812" w:hanging="2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</w:t>
      </w:r>
      <w:r>
        <w:rPr>
          <w:spacing w:val="-18"/>
          <w:w w:val="105"/>
        </w:rPr>
        <w:t> </w:t>
      </w:r>
      <w:r>
        <w:rPr>
          <w:w w:val="105"/>
        </w:rPr>
        <w:t>compliance</w:t>
      </w:r>
      <w:r>
        <w:rPr>
          <w:spacing w:val="-17"/>
          <w:w w:val="105"/>
        </w:rPr>
        <w:t> </w:t>
      </w:r>
      <w:r>
        <w:rPr>
          <w:w w:val="105"/>
        </w:rPr>
        <w:t>training</w:t>
      </w:r>
      <w:r>
        <w:rPr>
          <w:spacing w:val="-18"/>
          <w:w w:val="105"/>
        </w:rPr>
        <w:t> </w:t>
      </w:r>
      <w:r>
        <w:rPr>
          <w:w w:val="105"/>
        </w:rPr>
        <w:t>initiatives</w:t>
      </w:r>
      <w:r>
        <w:rPr>
          <w:spacing w:val="-17"/>
          <w:w w:val="105"/>
        </w:rPr>
        <w:t> </w:t>
      </w:r>
      <w:r>
        <w:rPr>
          <w:w w:val="105"/>
        </w:rPr>
        <w:t>across</w:t>
      </w:r>
      <w:r>
        <w:rPr>
          <w:spacing w:val="-17"/>
          <w:w w:val="105"/>
        </w:rPr>
        <w:t> </w:t>
      </w:r>
      <w:r>
        <w:rPr>
          <w:w w:val="105"/>
        </w:rPr>
        <w:t>seven</w:t>
      </w:r>
      <w:r>
        <w:rPr>
          <w:spacing w:val="-18"/>
          <w:w w:val="105"/>
        </w:rPr>
        <w:t> </w:t>
      </w:r>
      <w:r>
        <w:rPr>
          <w:w w:val="105"/>
        </w:rPr>
        <w:t>business</w:t>
      </w:r>
      <w:r>
        <w:rPr>
          <w:spacing w:val="-17"/>
          <w:w w:val="105"/>
        </w:rPr>
        <w:t> </w:t>
      </w:r>
      <w:r>
        <w:rPr>
          <w:w w:val="105"/>
        </w:rPr>
        <w:t>units, reducing regulatory infractions by 40%</w:t>
      </w:r>
    </w:p>
    <w:p>
      <w:pPr>
        <w:pStyle w:val="Heading2"/>
        <w:spacing w:before="149"/>
        <w:rPr>
          <w:rFonts w:ascii="Calibri" w:hAnsi="Calibri"/>
        </w:rPr>
      </w:pPr>
      <w:r>
        <w:rPr>
          <w:rFonts w:ascii="Calibri" w:hAnsi="Calibri"/>
          <w:w w:val="125"/>
        </w:rPr>
        <w:t>Associate Attorney –</w:t>
      </w:r>
      <w:r>
        <w:rPr>
          <w:rFonts w:ascii="Calibri" w:hAnsi="Calibri"/>
          <w:spacing w:val="1"/>
          <w:w w:val="125"/>
        </w:rPr>
        <w:t> </w:t>
      </w:r>
      <w:r>
        <w:rPr>
          <w:rFonts w:ascii="Calibri" w:hAnsi="Calibri"/>
          <w:w w:val="125"/>
        </w:rPr>
        <w:t>Corporate </w:t>
      </w:r>
      <w:r>
        <w:rPr>
          <w:rFonts w:ascii="Calibri" w:hAnsi="Calibri"/>
          <w:spacing w:val="-5"/>
          <w:w w:val="125"/>
        </w:rPr>
        <w:t>Law</w:t>
      </w:r>
    </w:p>
    <w:p>
      <w:pPr>
        <w:spacing w:before="110"/>
        <w:ind w:left="437" w:right="0" w:firstLine="0"/>
        <w:jc w:val="left"/>
        <w:rPr>
          <w:i/>
          <w:sz w:val="22"/>
        </w:rPr>
      </w:pPr>
      <w:r>
        <w:rPr>
          <w:i/>
          <w:sz w:val="22"/>
        </w:rPr>
        <w:t>Harper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&amp;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Lane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LLP,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Chicago,</w:t>
      </w:r>
      <w:r>
        <w:rPr>
          <w:i/>
          <w:spacing w:val="-8"/>
          <w:sz w:val="22"/>
        </w:rPr>
        <w:t> </w:t>
      </w:r>
      <w:r>
        <w:rPr>
          <w:i/>
          <w:spacing w:val="-5"/>
          <w:sz w:val="22"/>
        </w:rPr>
        <w:t>IL</w:t>
      </w:r>
    </w:p>
    <w:p>
      <w:pPr>
        <w:pStyle w:val="BodyText"/>
        <w:tabs>
          <w:tab w:pos="735" w:val="left" w:leader="none"/>
        </w:tabs>
        <w:spacing w:line="280" w:lineRule="auto" w:before="149"/>
        <w:ind w:left="735" w:right="2009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Provided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legal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counsel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entity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formation,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contract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disputes,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IP </w:t>
      </w:r>
      <w:r>
        <w:rPr>
          <w:w w:val="105"/>
        </w:rPr>
        <w:t>issues for midsize businesses</w:t>
      </w:r>
    </w:p>
    <w:p>
      <w:pPr>
        <w:pStyle w:val="BodyText"/>
        <w:tabs>
          <w:tab w:pos="735" w:val="left" w:leader="none"/>
        </w:tabs>
        <w:spacing w:line="280" w:lineRule="auto" w:before="93"/>
        <w:ind w:left="735" w:right="1746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Negotiated supplier and partnership contracts, helping clients improve terms and reduce long-term liability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141" w:space="40"/>
            <w:col w:w="9739"/>
          </w:cols>
        </w:sectPr>
      </w:pPr>
    </w:p>
    <w:p>
      <w:pPr>
        <w:pStyle w:val="BodyText"/>
        <w:spacing w:before="21"/>
        <w:rPr>
          <w:sz w:val="33"/>
        </w:rPr>
      </w:pPr>
    </w:p>
    <w:p>
      <w:pPr>
        <w:pStyle w:val="Heading1"/>
      </w:pPr>
      <w:r>
        <w:rPr>
          <w:color w:val="094D73"/>
          <w:spacing w:val="-2"/>
          <w:w w:val="130"/>
        </w:rPr>
        <w:t>Education</w:t>
      </w:r>
    </w:p>
    <w:p>
      <w:pPr>
        <w:pStyle w:val="BodyText"/>
        <w:spacing w:before="48"/>
        <w:rPr>
          <w:rFonts w:ascii="Calibri"/>
          <w:b/>
        </w:rPr>
      </w:pPr>
    </w:p>
    <w:p>
      <w:pPr>
        <w:pStyle w:val="Heading2"/>
        <w:ind w:left="2618"/>
        <w:rPr>
          <w:rFonts w:ascii="Calibri"/>
        </w:rPr>
      </w:pPr>
      <w:r>
        <w:rPr>
          <w:rFonts w:ascii="Calibri"/>
          <w:w w:val="130"/>
        </w:rPr>
        <w:t>Juris</w:t>
      </w:r>
      <w:r>
        <w:rPr>
          <w:rFonts w:ascii="Calibri"/>
          <w:spacing w:val="-2"/>
          <w:w w:val="130"/>
        </w:rPr>
        <w:t> </w:t>
      </w:r>
      <w:r>
        <w:rPr>
          <w:rFonts w:ascii="Calibri"/>
          <w:w w:val="130"/>
        </w:rPr>
        <w:t>Doctor</w:t>
      </w:r>
      <w:r>
        <w:rPr>
          <w:rFonts w:ascii="Calibri"/>
          <w:spacing w:val="-2"/>
          <w:w w:val="130"/>
        </w:rPr>
        <w:t> (J.D.)</w:t>
      </w:r>
    </w:p>
    <w:p>
      <w:pPr>
        <w:pStyle w:val="BodyText"/>
        <w:spacing w:before="95"/>
        <w:ind w:left="2618"/>
      </w:pPr>
      <w:r>
        <w:rPr/>
        <w:t>Northwestern</w:t>
      </w:r>
      <w:r>
        <w:rPr>
          <w:spacing w:val="16"/>
        </w:rPr>
        <w:t> </w:t>
      </w:r>
      <w:r>
        <w:rPr/>
        <w:t>University</w:t>
      </w:r>
      <w:r>
        <w:rPr>
          <w:spacing w:val="7"/>
        </w:rPr>
        <w:t> </w:t>
      </w:r>
      <w:r>
        <w:rPr/>
        <w:t>School</w:t>
      </w:r>
      <w:r>
        <w:rPr>
          <w:spacing w:val="6"/>
        </w:rPr>
        <w:t> </w:t>
      </w:r>
      <w:r>
        <w:rPr/>
        <w:t>of</w:t>
      </w:r>
      <w:r>
        <w:rPr>
          <w:spacing w:val="8"/>
        </w:rPr>
        <w:t> </w:t>
      </w:r>
      <w:r>
        <w:rPr/>
        <w:t>Law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>
          <w:spacing w:val="-4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Heading2"/>
        <w:spacing w:before="88"/>
        <w:ind w:left="2618"/>
        <w:rPr>
          <w:rFonts w:ascii="Calibri"/>
        </w:rPr>
      </w:pPr>
      <w:r>
        <w:rPr>
          <w:rFonts w:ascii="Calibri"/>
          <w:w w:val="130"/>
        </w:rPr>
        <w:t>Bachelor</w:t>
      </w:r>
      <w:r>
        <w:rPr>
          <w:rFonts w:ascii="Calibri"/>
          <w:spacing w:val="-10"/>
          <w:w w:val="130"/>
        </w:rPr>
        <w:t> </w:t>
      </w:r>
      <w:r>
        <w:rPr>
          <w:rFonts w:ascii="Calibri"/>
          <w:w w:val="130"/>
        </w:rPr>
        <w:t>of</w:t>
      </w:r>
      <w:r>
        <w:rPr>
          <w:rFonts w:ascii="Calibri"/>
          <w:spacing w:val="-10"/>
          <w:w w:val="130"/>
        </w:rPr>
        <w:t> </w:t>
      </w:r>
      <w:r>
        <w:rPr>
          <w:rFonts w:ascii="Calibri"/>
          <w:w w:val="130"/>
        </w:rPr>
        <w:t>Arts</w:t>
      </w:r>
      <w:r>
        <w:rPr>
          <w:rFonts w:ascii="Calibri"/>
          <w:spacing w:val="-9"/>
          <w:w w:val="130"/>
        </w:rPr>
        <w:t> </w:t>
      </w:r>
      <w:r>
        <w:rPr>
          <w:rFonts w:ascii="Calibri"/>
          <w:w w:val="130"/>
        </w:rPr>
        <w:t>in</w:t>
      </w:r>
      <w:r>
        <w:rPr>
          <w:rFonts w:ascii="Calibri"/>
          <w:spacing w:val="-10"/>
          <w:w w:val="130"/>
        </w:rPr>
        <w:t> </w:t>
      </w:r>
      <w:r>
        <w:rPr>
          <w:rFonts w:ascii="Calibri"/>
          <w:spacing w:val="-2"/>
          <w:w w:val="130"/>
        </w:rPr>
        <w:t>Economics</w:t>
      </w:r>
    </w:p>
    <w:p>
      <w:pPr>
        <w:pStyle w:val="BodyText"/>
        <w:spacing w:before="109"/>
        <w:ind w:left="2618"/>
      </w:pPr>
      <w:r>
        <w:rPr/>
        <w:t>University</w:t>
      </w:r>
      <w:r>
        <w:rPr>
          <w:spacing w:val="6"/>
        </w:rPr>
        <w:t> </w:t>
      </w:r>
      <w:r>
        <w:rPr/>
        <w:t>of</w:t>
      </w:r>
      <w:r>
        <w:rPr>
          <w:spacing w:val="8"/>
        </w:rPr>
        <w:t> </w:t>
      </w:r>
      <w:r>
        <w:rPr/>
        <w:t>Illinois</w:t>
      </w:r>
      <w:r>
        <w:rPr>
          <w:spacing w:val="16"/>
        </w:rPr>
        <w:t> </w:t>
      </w:r>
      <w:r>
        <w:rPr/>
        <w:t>Urbana-Champaign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>
          <w:spacing w:val="-4"/>
        </w:rPr>
        <w:t>2011</w:t>
      </w:r>
    </w:p>
    <w:sectPr>
      <w:pgSz w:w="11920" w:h="16860"/>
      <w:pgMar w:top="4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37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chris.jackso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2025-12-20T21:46:20Z</dcterms:created>
  <dcterms:modified xsi:type="dcterms:W3CDTF">2025-12-20T21:46:20Z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2025-12-20T00:00:00Z</vt:filetime>
  </property>
  <property fmtid="{D5CDD505-2E9C-101B-9397-08002B2CF9AE}" pid="5" name="Producer">
    <vt:lpwstr>pdf-merger-js</vt:lpwstr>
  </property>
</Properties>
</file>