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47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68" w:lineRule="auto"/>
      </w:pPr>
      <w:r>
        <w:rPr>
          <w:color w:val="FFFFFF"/>
          <w:spacing w:val="-2"/>
          <w:w w:val="125"/>
        </w:rPr>
        <w:t>LOGAN </w:t>
      </w:r>
      <w:r>
        <w:rPr>
          <w:color w:val="FFFFFF"/>
          <w:spacing w:val="-4"/>
          <w:w w:val="130"/>
        </w:rPr>
        <w:t>HALL</w:t>
      </w:r>
    </w:p>
    <w:p>
      <w:pPr>
        <w:pStyle w:val="Heading2"/>
        <w:spacing w:before="63"/>
      </w:pPr>
      <w:r>
        <w:rPr>
          <w:color w:val="FFFFFF"/>
          <w:w w:val="125"/>
        </w:rPr>
        <w:t>Residential</w:t>
      </w:r>
      <w:r>
        <w:rPr>
          <w:color w:val="FFFFFF"/>
          <w:spacing w:val="18"/>
          <w:w w:val="125"/>
        </w:rPr>
        <w:t> </w:t>
      </w:r>
      <w:r>
        <w:rPr>
          <w:color w:val="FFFFFF"/>
          <w:spacing w:val="-2"/>
          <w:w w:val="125"/>
        </w:rPr>
        <w:t>Architect</w:t>
      </w:r>
    </w:p>
    <w:p>
      <w:pPr>
        <w:pStyle w:val="BodyText"/>
        <w:spacing w:before="81"/>
        <w:ind w:left="0" w:firstLine="0"/>
        <w:rPr>
          <w:rFonts w:ascii="Calibri"/>
          <w:b/>
          <w:sz w:val="26"/>
        </w:rPr>
      </w:pPr>
    </w:p>
    <w:p>
      <w:pPr>
        <w:pStyle w:val="BodyText"/>
        <w:spacing w:before="0"/>
        <w:ind w:left="51" w:firstLine="0"/>
      </w:pPr>
      <w:r>
        <w:rPr>
          <w:color w:val="FFFFFF"/>
        </w:rPr>
        <w:t>Portland,</w:t>
      </w:r>
      <w:r>
        <w:rPr>
          <w:color w:val="FFFFFF"/>
          <w:spacing w:val="-15"/>
        </w:rPr>
        <w:t> </w:t>
      </w:r>
      <w:r>
        <w:rPr>
          <w:color w:val="FFFFFF"/>
          <w:spacing w:val="-5"/>
        </w:rPr>
        <w:t>OR</w:t>
      </w:r>
    </w:p>
    <w:p>
      <w:pPr>
        <w:spacing w:before="44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56"/>
          <w:sz w:val="22"/>
        </w:rPr>
        <w:t>  </w:t>
      </w:r>
      <w:r>
        <w:rPr>
          <w:i/>
          <w:color w:val="FFFFFF"/>
          <w:sz w:val="22"/>
        </w:rPr>
        <w:t>000-000-</w:t>
      </w:r>
      <w:r>
        <w:rPr>
          <w:i/>
          <w:color w:val="FFFFFF"/>
          <w:spacing w:val="-4"/>
          <w:sz w:val="22"/>
        </w:rPr>
        <w:t>0000</w:t>
      </w:r>
    </w:p>
    <w:p>
      <w:pPr>
        <w:pStyle w:val="Heading3"/>
        <w:spacing w:line="280" w:lineRule="auto"/>
      </w:pPr>
      <w:r>
        <w:rPr>
          <w:b w:val="0"/>
        </w:rPr>
        <w:br w:type="column"/>
      </w:r>
      <w:r>
        <w:rPr>
          <w:color w:val="FFFFFF"/>
          <w:w w:val="105"/>
        </w:rPr>
        <w:t>Dedicated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24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 client-responsive housing solutions</w:t>
      </w:r>
    </w:p>
    <w:p>
      <w:pPr>
        <w:pStyle w:val="BodyText"/>
        <w:spacing w:line="280" w:lineRule="auto" w:before="107"/>
        <w:ind w:left="51" w:right="300" w:firstLine="0"/>
      </w:pPr>
      <w:r>
        <w:rPr>
          <w:color w:val="FFFFFF"/>
          <w:w w:val="105"/>
        </w:rPr>
        <w:t>Residential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over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 designing single-family homes, townhouses, and small multifamily developments.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translating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needs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functional layouts,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navigating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zoning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codes,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design solutions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blend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local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character.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Proficient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AutoCAD, SketchUp, and passive design strategies.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283"/>
          <w:cols w:num="2" w:equalWidth="0">
            <w:col w:w="3755" w:space="616"/>
            <w:col w:w="6983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76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76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765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676525"/>
                              </a:lnTo>
                              <a:lnTo>
                                <a:pt x="7568171" y="26765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0.75pt;mso-position-horizontal-relative:page;mso-position-vertical-relative:page;z-index:-15780352" id="docshape1" coordorigin="0,0" coordsize="11919,4215" path="m11918,0l0,0,0,510,0,525,0,4215,11918,4215,11918,525,11918,510,11918,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70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C36531"/>
          <w:w w:val="130"/>
        </w:rPr>
        <w:t>Key</w:t>
      </w:r>
      <w:r>
        <w:rPr>
          <w:color w:val="C36531"/>
          <w:spacing w:val="-9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Client</w:t>
      </w:r>
      <w:r>
        <w:rPr>
          <w:color w:val="232323"/>
          <w:spacing w:val="-7"/>
          <w:sz w:val="22"/>
        </w:rPr>
        <w:t> </w:t>
      </w:r>
      <w:r>
        <w:rPr>
          <w:color w:val="232323"/>
          <w:spacing w:val="-2"/>
          <w:sz w:val="22"/>
        </w:rPr>
        <w:t>consultation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Energy-efficient</w:t>
      </w:r>
      <w:r>
        <w:rPr>
          <w:color w:val="232323"/>
          <w:spacing w:val="4"/>
          <w:sz w:val="22"/>
        </w:rPr>
        <w:t> </w:t>
      </w:r>
      <w:r>
        <w:rPr>
          <w:color w:val="232323"/>
          <w:spacing w:val="-2"/>
          <w:sz w:val="22"/>
        </w:rPr>
        <w:t>design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Permit</w:t>
      </w:r>
      <w:r>
        <w:rPr>
          <w:color w:val="232323"/>
          <w:spacing w:val="-4"/>
          <w:sz w:val="22"/>
        </w:rPr>
        <w:t> </w:t>
      </w:r>
      <w:r>
        <w:rPr>
          <w:color w:val="232323"/>
          <w:spacing w:val="-2"/>
          <w:sz w:val="22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Project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lifecycle</w:t>
      </w:r>
      <w:r>
        <w:rPr>
          <w:color w:val="232323"/>
          <w:spacing w:val="-7"/>
          <w:sz w:val="22"/>
        </w:rPr>
        <w:t> </w:t>
      </w:r>
      <w:r>
        <w:rPr>
          <w:color w:val="232323"/>
          <w:spacing w:val="-2"/>
          <w:sz w:val="22"/>
        </w:rPr>
        <w:t>planning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10"/>
          <w:sz w:val="22"/>
        </w:rPr>
        <w:t>SketchUp</w:t>
      </w:r>
      <w:r>
        <w:rPr>
          <w:color w:val="232323"/>
          <w:spacing w:val="-14"/>
          <w:w w:val="110"/>
          <w:sz w:val="22"/>
        </w:rPr>
        <w:t> </w:t>
      </w:r>
      <w:r>
        <w:rPr>
          <w:color w:val="232323"/>
          <w:spacing w:val="-2"/>
          <w:w w:val="110"/>
          <w:sz w:val="22"/>
        </w:rPr>
        <w:t>modeling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Space</w:t>
      </w:r>
      <w:r>
        <w:rPr>
          <w:color w:val="232323"/>
          <w:spacing w:val="27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Sustainable</w:t>
      </w:r>
      <w:r>
        <w:rPr>
          <w:color w:val="232323"/>
          <w:spacing w:val="22"/>
          <w:sz w:val="22"/>
        </w:rPr>
        <w:t> </w:t>
      </w:r>
      <w:r>
        <w:rPr>
          <w:color w:val="232323"/>
          <w:sz w:val="22"/>
        </w:rPr>
        <w:t>material</w:t>
      </w:r>
      <w:r>
        <w:rPr>
          <w:color w:val="232323"/>
          <w:spacing w:val="11"/>
          <w:sz w:val="22"/>
        </w:rPr>
        <w:t> </w:t>
      </w:r>
      <w:r>
        <w:rPr>
          <w:color w:val="232323"/>
          <w:spacing w:val="-5"/>
          <w:sz w:val="22"/>
        </w:rPr>
        <w:t>use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Zoning</w:t>
      </w:r>
      <w:r>
        <w:rPr>
          <w:color w:val="232323"/>
          <w:spacing w:val="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compliance</w:t>
      </w:r>
    </w:p>
    <w:p>
      <w:pPr>
        <w:pStyle w:val="BodyText"/>
        <w:spacing w:before="39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187974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01156pt;width:563.249955pt;height:.75pt;mso-position-horizontal-relative:page;mso-position-vertical-relative:paragraph;z-index:-15728128;mso-wrap-distance-left:0;mso-wrap-distance-right:0" id="docshape4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82"/>
      </w:pPr>
      <w:r>
        <w:rPr>
          <w:color w:val="C36531"/>
          <w:w w:val="125"/>
        </w:rPr>
        <w:t>Professional</w:t>
      </w:r>
      <w:r>
        <w:rPr>
          <w:color w:val="C36531"/>
          <w:spacing w:val="28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tabs>
          <w:tab w:pos="2420" w:val="left" w:leader="none"/>
        </w:tabs>
        <w:spacing w:before="204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w w:val="120"/>
          <w:sz w:val="18"/>
        </w:rPr>
        <w:t>Lead</w:t>
      </w:r>
      <w:r>
        <w:rPr>
          <w:rFonts w:ascii="Calibri"/>
          <w:b/>
          <w:color w:val="232323"/>
          <w:spacing w:val="43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Transit</w:t>
      </w:r>
      <w:r>
        <w:rPr>
          <w:rFonts w:ascii="Calibri"/>
          <w:b/>
          <w:color w:val="232323"/>
          <w:spacing w:val="44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Architect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z w:val="22"/>
        </w:rPr>
        <w:t>Metro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Design</w:t>
      </w:r>
      <w:r>
        <w:rPr>
          <w:i/>
          <w:color w:val="232323"/>
          <w:spacing w:val="-20"/>
          <w:sz w:val="22"/>
        </w:rPr>
        <w:t> </w:t>
      </w:r>
      <w:r>
        <w:rPr>
          <w:i/>
          <w:color w:val="232323"/>
          <w:sz w:val="22"/>
        </w:rPr>
        <w:t>Works,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z w:val="22"/>
        </w:rPr>
        <w:t>New</w:t>
      </w:r>
      <w:r>
        <w:rPr>
          <w:i/>
          <w:color w:val="232323"/>
          <w:spacing w:val="-24"/>
          <w:sz w:val="22"/>
        </w:rPr>
        <w:t> </w:t>
      </w:r>
      <w:r>
        <w:rPr>
          <w:i/>
          <w:color w:val="232323"/>
          <w:sz w:val="22"/>
        </w:rPr>
        <w:t>York,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z w:val="22"/>
        </w:rPr>
        <w:t>NY</w:t>
      </w:r>
      <w:r>
        <w:rPr>
          <w:i/>
          <w:color w:val="232323"/>
          <w:spacing w:val="-19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sz w:val="22"/>
        </w:rPr>
        <w:t>October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2016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86" w:hanging="347"/>
        <w:jc w:val="left"/>
        <w:rPr>
          <w:sz w:val="22"/>
        </w:rPr>
      </w:pPr>
      <w:r>
        <w:rPr>
          <w:color w:val="232323"/>
          <w:w w:val="105"/>
          <w:sz w:val="22"/>
        </w:rPr>
        <w:t>Managed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station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redesigns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for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three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major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metropolitan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w w:val="105"/>
          <w:sz w:val="22"/>
        </w:rPr>
        <w:t>transit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systems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totaling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$500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million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in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w w:val="105"/>
          <w:sz w:val="22"/>
        </w:rPr>
        <w:t>combined </w:t>
      </w:r>
      <w:r>
        <w:rPr>
          <w:color w:val="232323"/>
          <w:spacing w:val="-2"/>
          <w:w w:val="105"/>
          <w:sz w:val="22"/>
        </w:rPr>
        <w:t>budgets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Coordinated</w:t>
      </w:r>
      <w:r>
        <w:rPr>
          <w:color w:val="232323"/>
          <w:spacing w:val="-5"/>
          <w:sz w:val="22"/>
        </w:rPr>
        <w:t> </w:t>
      </w:r>
      <w:r>
        <w:rPr>
          <w:color w:val="232323"/>
          <w:sz w:val="22"/>
        </w:rPr>
        <w:t>with</w:t>
      </w:r>
      <w:r>
        <w:rPr>
          <w:color w:val="232323"/>
          <w:spacing w:val="2"/>
          <w:sz w:val="22"/>
        </w:rPr>
        <w:t> </w:t>
      </w:r>
      <w:r>
        <w:rPr>
          <w:color w:val="232323"/>
          <w:sz w:val="22"/>
        </w:rPr>
        <w:t>DOT,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MTA,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and</w:t>
      </w:r>
      <w:r>
        <w:rPr>
          <w:color w:val="232323"/>
          <w:spacing w:val="2"/>
          <w:sz w:val="22"/>
        </w:rPr>
        <w:t> </w:t>
      </w:r>
      <w:r>
        <w:rPr>
          <w:color w:val="232323"/>
          <w:sz w:val="22"/>
        </w:rPr>
        <w:t>Port</w:t>
      </w:r>
      <w:r>
        <w:rPr>
          <w:color w:val="232323"/>
          <w:spacing w:val="-5"/>
          <w:sz w:val="22"/>
        </w:rPr>
        <w:t> </w:t>
      </w:r>
      <w:r>
        <w:rPr>
          <w:color w:val="232323"/>
          <w:sz w:val="22"/>
        </w:rPr>
        <w:t>Authority</w:t>
      </w:r>
      <w:r>
        <w:rPr>
          <w:color w:val="232323"/>
          <w:spacing w:val="-5"/>
          <w:sz w:val="22"/>
        </w:rPr>
        <w:t> </w:t>
      </w:r>
      <w:r>
        <w:rPr>
          <w:color w:val="232323"/>
          <w:sz w:val="22"/>
        </w:rPr>
        <w:t>officials</w:t>
      </w:r>
      <w:r>
        <w:rPr>
          <w:color w:val="232323"/>
          <w:spacing w:val="2"/>
          <w:sz w:val="22"/>
        </w:rPr>
        <w:t> </w:t>
      </w:r>
      <w:r>
        <w:rPr>
          <w:color w:val="232323"/>
          <w:sz w:val="22"/>
        </w:rPr>
        <w:t>to</w:t>
      </w:r>
      <w:r>
        <w:rPr>
          <w:color w:val="232323"/>
          <w:spacing w:val="3"/>
          <w:sz w:val="22"/>
        </w:rPr>
        <w:t> </w:t>
      </w:r>
      <w:r>
        <w:rPr>
          <w:color w:val="232323"/>
          <w:sz w:val="22"/>
        </w:rPr>
        <w:t>secure</w:t>
      </w:r>
      <w:r>
        <w:rPr>
          <w:color w:val="232323"/>
          <w:spacing w:val="3"/>
          <w:sz w:val="22"/>
        </w:rPr>
        <w:t> </w:t>
      </w:r>
      <w:r>
        <w:rPr>
          <w:color w:val="232323"/>
          <w:spacing w:val="-2"/>
          <w:sz w:val="22"/>
        </w:rPr>
        <w:t>approvals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Integrated</w:t>
      </w:r>
      <w:r>
        <w:rPr>
          <w:color w:val="232323"/>
          <w:spacing w:val="-4"/>
          <w:w w:val="105"/>
          <w:sz w:val="22"/>
        </w:rPr>
        <w:t> </w:t>
      </w:r>
      <w:r>
        <w:rPr>
          <w:color w:val="232323"/>
          <w:w w:val="105"/>
          <w:sz w:val="22"/>
        </w:rPr>
        <w:t>signage</w:t>
      </w:r>
      <w:r>
        <w:rPr>
          <w:color w:val="232323"/>
          <w:spacing w:val="-4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3"/>
          <w:w w:val="105"/>
          <w:sz w:val="22"/>
        </w:rPr>
        <w:t> </w:t>
      </w:r>
      <w:r>
        <w:rPr>
          <w:color w:val="232323"/>
          <w:w w:val="105"/>
          <w:sz w:val="22"/>
        </w:rPr>
        <w:t>accessibility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upgrades</w:t>
      </w:r>
      <w:r>
        <w:rPr>
          <w:color w:val="232323"/>
          <w:spacing w:val="-3"/>
          <w:w w:val="105"/>
          <w:sz w:val="22"/>
        </w:rPr>
        <w:t> </w:t>
      </w:r>
      <w:r>
        <w:rPr>
          <w:color w:val="232323"/>
          <w:w w:val="105"/>
          <w:sz w:val="22"/>
        </w:rPr>
        <w:t>to</w:t>
      </w:r>
      <w:r>
        <w:rPr>
          <w:color w:val="232323"/>
          <w:spacing w:val="-4"/>
          <w:w w:val="105"/>
          <w:sz w:val="22"/>
        </w:rPr>
        <w:t> </w:t>
      </w:r>
      <w:r>
        <w:rPr>
          <w:color w:val="232323"/>
          <w:w w:val="105"/>
          <w:sz w:val="22"/>
        </w:rPr>
        <w:t>improve</w:t>
      </w:r>
      <w:r>
        <w:rPr>
          <w:color w:val="232323"/>
          <w:spacing w:val="-4"/>
          <w:w w:val="105"/>
          <w:sz w:val="22"/>
        </w:rPr>
        <w:t> </w:t>
      </w:r>
      <w:r>
        <w:rPr>
          <w:color w:val="232323"/>
          <w:w w:val="105"/>
          <w:sz w:val="22"/>
        </w:rPr>
        <w:t>passenger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flow</w:t>
      </w:r>
    </w:p>
    <w:p>
      <w:pPr>
        <w:tabs>
          <w:tab w:pos="1181" w:val="left" w:leader="none"/>
        </w:tabs>
        <w:spacing w:before="255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-2"/>
          <w:w w:val="115"/>
          <w:sz w:val="18"/>
        </w:rPr>
        <w:t>Architect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Westline</w:t>
      </w:r>
      <w:r>
        <w:rPr>
          <w:i/>
          <w:color w:val="232323"/>
          <w:spacing w:val="-2"/>
          <w:sz w:val="22"/>
        </w:rPr>
        <w:t> </w:t>
      </w:r>
      <w:r>
        <w:rPr>
          <w:i/>
          <w:color w:val="232323"/>
          <w:w w:val="95"/>
          <w:sz w:val="22"/>
        </w:rPr>
        <w:t>Architecture,</w:t>
      </w:r>
      <w:r>
        <w:rPr>
          <w:i/>
          <w:color w:val="232323"/>
          <w:spacing w:val="6"/>
          <w:sz w:val="22"/>
        </w:rPr>
        <w:t> </w:t>
      </w:r>
      <w:r>
        <w:rPr>
          <w:i/>
          <w:color w:val="232323"/>
          <w:w w:val="95"/>
          <w:sz w:val="22"/>
        </w:rPr>
        <w:t>New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York,</w:t>
      </w:r>
      <w:r>
        <w:rPr>
          <w:i/>
          <w:color w:val="232323"/>
          <w:spacing w:val="6"/>
          <w:sz w:val="22"/>
        </w:rPr>
        <w:t> </w:t>
      </w:r>
      <w:r>
        <w:rPr>
          <w:i/>
          <w:color w:val="232323"/>
          <w:w w:val="95"/>
          <w:sz w:val="22"/>
        </w:rPr>
        <w:t>NY</w:t>
      </w:r>
      <w:r>
        <w:rPr>
          <w:i/>
          <w:color w:val="232323"/>
          <w:spacing w:val="-2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6"/>
          <w:sz w:val="22"/>
        </w:rPr>
        <w:t> </w:t>
      </w:r>
      <w:r>
        <w:rPr>
          <w:i/>
          <w:color w:val="232323"/>
          <w:w w:val="95"/>
          <w:sz w:val="22"/>
        </w:rPr>
        <w:t>September</w:t>
      </w:r>
      <w:r>
        <w:rPr>
          <w:i/>
          <w:color w:val="232323"/>
          <w:spacing w:val="1"/>
          <w:sz w:val="22"/>
        </w:rPr>
        <w:t> </w:t>
      </w:r>
      <w:r>
        <w:rPr>
          <w:i/>
          <w:color w:val="232323"/>
          <w:w w:val="95"/>
          <w:sz w:val="22"/>
        </w:rPr>
        <w:t>2012</w:t>
      </w:r>
      <w:r>
        <w:rPr>
          <w:i/>
          <w:color w:val="232323"/>
          <w:spacing w:val="6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6"/>
          <w:sz w:val="22"/>
        </w:rPr>
        <w:t> </w:t>
      </w:r>
      <w:r>
        <w:rPr>
          <w:i/>
          <w:color w:val="232323"/>
          <w:w w:val="95"/>
          <w:sz w:val="22"/>
        </w:rPr>
        <w:t>September</w:t>
      </w:r>
      <w:r>
        <w:rPr>
          <w:i/>
          <w:color w:val="232323"/>
          <w:spacing w:val="1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2016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Developed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w w:val="105"/>
          <w:sz w:val="22"/>
        </w:rPr>
        <w:t>schematic</w:t>
      </w:r>
      <w:r>
        <w:rPr>
          <w:color w:val="232323"/>
          <w:spacing w:val="-5"/>
          <w:w w:val="105"/>
          <w:sz w:val="22"/>
        </w:rPr>
        <w:t> </w:t>
      </w:r>
      <w:r>
        <w:rPr>
          <w:color w:val="232323"/>
          <w:w w:val="105"/>
          <w:sz w:val="22"/>
        </w:rPr>
        <w:t>designs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w w:val="105"/>
          <w:sz w:val="22"/>
        </w:rPr>
        <w:t>for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bus</w:t>
      </w:r>
      <w:r>
        <w:rPr>
          <w:color w:val="232323"/>
          <w:spacing w:val="-5"/>
          <w:w w:val="105"/>
          <w:sz w:val="22"/>
        </w:rPr>
        <w:t> </w:t>
      </w:r>
      <w:r>
        <w:rPr>
          <w:color w:val="232323"/>
          <w:w w:val="105"/>
          <w:sz w:val="22"/>
        </w:rPr>
        <w:t>depots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5"/>
          <w:w w:val="105"/>
          <w:sz w:val="22"/>
        </w:rPr>
        <w:t> </w:t>
      </w:r>
      <w:r>
        <w:rPr>
          <w:color w:val="232323"/>
          <w:w w:val="105"/>
          <w:sz w:val="22"/>
        </w:rPr>
        <w:t>light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w w:val="105"/>
          <w:sz w:val="22"/>
        </w:rPr>
        <w:t>rail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terminals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Modeled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MEP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structural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integration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for</w:t>
      </w:r>
      <w:r>
        <w:rPr>
          <w:color w:val="232323"/>
          <w:spacing w:val="-15"/>
          <w:w w:val="105"/>
          <w:sz w:val="22"/>
        </w:rPr>
        <w:t> </w:t>
      </w:r>
      <w:r>
        <w:rPr>
          <w:color w:val="232323"/>
          <w:w w:val="105"/>
          <w:sz w:val="22"/>
        </w:rPr>
        <w:t>complex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public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projects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9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Supported</w:t>
      </w:r>
      <w:r>
        <w:rPr>
          <w:color w:val="232323"/>
          <w:spacing w:val="34"/>
          <w:sz w:val="22"/>
        </w:rPr>
        <w:t> </w:t>
      </w:r>
      <w:r>
        <w:rPr>
          <w:color w:val="232323"/>
          <w:sz w:val="22"/>
        </w:rPr>
        <w:t>team</w:t>
      </w:r>
      <w:r>
        <w:rPr>
          <w:color w:val="232323"/>
          <w:spacing w:val="34"/>
          <w:sz w:val="22"/>
        </w:rPr>
        <w:t> </w:t>
      </w:r>
      <w:r>
        <w:rPr>
          <w:color w:val="232323"/>
          <w:sz w:val="22"/>
        </w:rPr>
        <w:t>coordination</w:t>
      </w:r>
      <w:r>
        <w:rPr>
          <w:color w:val="232323"/>
          <w:spacing w:val="34"/>
          <w:sz w:val="22"/>
        </w:rPr>
        <w:t> </w:t>
      </w:r>
      <w:r>
        <w:rPr>
          <w:color w:val="232323"/>
          <w:sz w:val="22"/>
        </w:rPr>
        <w:t>meetings</w:t>
      </w:r>
      <w:r>
        <w:rPr>
          <w:color w:val="232323"/>
          <w:spacing w:val="23"/>
          <w:sz w:val="22"/>
        </w:rPr>
        <w:t> </w:t>
      </w:r>
      <w:r>
        <w:rPr>
          <w:color w:val="232323"/>
          <w:sz w:val="22"/>
        </w:rPr>
        <w:t>with</w:t>
      </w:r>
      <w:r>
        <w:rPr>
          <w:color w:val="232323"/>
          <w:spacing w:val="34"/>
          <w:sz w:val="22"/>
        </w:rPr>
        <w:t> </w:t>
      </w:r>
      <w:r>
        <w:rPr>
          <w:color w:val="232323"/>
          <w:sz w:val="22"/>
        </w:rPr>
        <w:t>engineering</w:t>
      </w:r>
      <w:r>
        <w:rPr>
          <w:color w:val="232323"/>
          <w:spacing w:val="34"/>
          <w:sz w:val="22"/>
        </w:rPr>
        <w:t> </w:t>
      </w:r>
      <w:r>
        <w:rPr>
          <w:color w:val="232323"/>
          <w:spacing w:val="-2"/>
          <w:sz w:val="22"/>
        </w:rPr>
        <w:t>partners</w:t>
      </w:r>
    </w:p>
    <w:p>
      <w:pPr>
        <w:pStyle w:val="BodyText"/>
        <w:spacing w:before="4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188417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36057pt;width:563.249955pt;height:.75pt;mso-position-horizontal-relative:page;mso-position-vertical-relative:paragraph;z-index:-15727616;mso-wrap-distance-left:0;mso-wrap-distance-right:0" id="docshape5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67"/>
      </w:pPr>
      <w:r>
        <w:rPr>
          <w:color w:val="C36531"/>
          <w:spacing w:val="-2"/>
          <w:w w:val="130"/>
        </w:rPr>
        <w:t>Education</w:t>
      </w:r>
    </w:p>
    <w:p>
      <w:pPr>
        <w:tabs>
          <w:tab w:pos="3515" w:val="left" w:leader="none"/>
        </w:tabs>
        <w:spacing w:before="204"/>
        <w:ind w:left="51" w:right="0" w:firstLine="0"/>
        <w:jc w:val="left"/>
        <w:rPr>
          <w:sz w:val="22"/>
        </w:rPr>
      </w:pPr>
      <w:r>
        <w:rPr>
          <w:rFonts w:ascii="Calibri"/>
          <w:b/>
          <w:color w:val="232323"/>
          <w:spacing w:val="2"/>
          <w:w w:val="120"/>
          <w:sz w:val="18"/>
        </w:rPr>
        <w:t>Bachelor</w:t>
      </w:r>
      <w:r>
        <w:rPr>
          <w:rFonts w:ascii="Calibri"/>
          <w:b/>
          <w:color w:val="232323"/>
          <w:spacing w:val="47"/>
          <w:w w:val="120"/>
          <w:sz w:val="18"/>
        </w:rPr>
        <w:t> </w:t>
      </w:r>
      <w:r>
        <w:rPr>
          <w:rFonts w:ascii="Calibri"/>
          <w:b/>
          <w:color w:val="232323"/>
          <w:spacing w:val="2"/>
          <w:w w:val="120"/>
          <w:sz w:val="18"/>
        </w:rPr>
        <w:t>of</w:t>
      </w:r>
      <w:r>
        <w:rPr>
          <w:rFonts w:ascii="Calibri"/>
          <w:b/>
          <w:color w:val="232323"/>
          <w:spacing w:val="47"/>
          <w:w w:val="120"/>
          <w:sz w:val="18"/>
        </w:rPr>
        <w:t> </w:t>
      </w:r>
      <w:r>
        <w:rPr>
          <w:rFonts w:ascii="Calibri"/>
          <w:b/>
          <w:color w:val="232323"/>
          <w:spacing w:val="2"/>
          <w:w w:val="120"/>
          <w:sz w:val="18"/>
        </w:rPr>
        <w:t>Architecture</w:t>
      </w:r>
      <w:r>
        <w:rPr>
          <w:rFonts w:ascii="Calibri"/>
          <w:b/>
          <w:color w:val="232323"/>
          <w:spacing w:val="47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(B.Arch)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w w:val="95"/>
          <w:sz w:val="22"/>
        </w:rPr>
        <w:t>Pratt</w:t>
      </w:r>
      <w:r>
        <w:rPr>
          <w:color w:val="232323"/>
          <w:spacing w:val="-12"/>
          <w:w w:val="95"/>
          <w:sz w:val="22"/>
        </w:rPr>
        <w:t> </w:t>
      </w:r>
      <w:r>
        <w:rPr>
          <w:color w:val="232323"/>
          <w:w w:val="95"/>
          <w:sz w:val="22"/>
        </w:rPr>
        <w:t>Institute</w:t>
      </w:r>
      <w:r>
        <w:rPr>
          <w:color w:val="232323"/>
          <w:spacing w:val="-12"/>
          <w:w w:val="95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5"/>
          <w:w w:val="85"/>
          <w:sz w:val="22"/>
        </w:rPr>
        <w:t> </w:t>
      </w:r>
      <w:r>
        <w:rPr>
          <w:color w:val="232323"/>
          <w:spacing w:val="-4"/>
          <w:w w:val="95"/>
          <w:sz w:val="22"/>
        </w:rPr>
        <w:t>2011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1"/>
      <w:ind w:left="51" w:right="197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2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51" w:right="549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2025-12-14T03:47:06Z</dcterms:created>
  <dcterms:modified xsi:type="dcterms:W3CDTF">2025-12-14T03:47:06Z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