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47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68" w:lineRule="auto"/>
      </w:pPr>
      <w:r>
        <w:rPr>
          <w:color w:val="FFFFFF"/>
          <w:spacing w:val="-4"/>
          <w:w w:val="125"/>
        </w:rPr>
        <w:t>SAM </w:t>
      </w:r>
      <w:r>
        <w:rPr>
          <w:color w:val="FFFFFF"/>
          <w:spacing w:val="-2"/>
          <w:w w:val="125"/>
        </w:rPr>
        <w:t>WRIGHT</w:t>
      </w:r>
    </w:p>
    <w:p>
      <w:pPr>
        <w:pStyle w:val="Heading2"/>
        <w:spacing w:line="249" w:lineRule="auto" w:before="63"/>
      </w:pPr>
      <w:r>
        <w:rPr>
          <w:color w:val="FFFFFF"/>
          <w:w w:val="125"/>
        </w:rPr>
        <w:t>Medical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Intensive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Care Unit (MICU) Nurse</w:t>
      </w:r>
    </w:p>
    <w:p>
      <w:pPr>
        <w:pStyle w:val="BodyText"/>
        <w:spacing w:before="68"/>
        <w:ind w:left="0" w:firstLine="0"/>
        <w:rPr>
          <w:rFonts w:ascii="Calibri"/>
          <w:b/>
          <w:sz w:val="26"/>
        </w:rPr>
      </w:pPr>
    </w:p>
    <w:p>
      <w:pPr>
        <w:pStyle w:val="BodyText"/>
        <w:spacing w:before="0"/>
        <w:ind w:left="51" w:firstLine="0"/>
      </w:pP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spacing w:before="45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email@email.com</w:t>
        </w:r>
      </w:hyperlink>
      <w:r>
        <w:rPr>
          <w:color w:val="FFFFFF"/>
          <w:spacing w:val="36"/>
          <w:sz w:val="22"/>
        </w:rPr>
        <w:t> </w:t>
      </w:r>
      <w:r>
        <w:rPr>
          <w:i/>
          <w:color w:val="FFFFFF"/>
          <w:sz w:val="22"/>
        </w:rPr>
        <w:t>(000)</w:t>
      </w:r>
      <w:r>
        <w:rPr>
          <w:i/>
          <w:color w:val="FFFFFF"/>
          <w:spacing w:val="35"/>
          <w:sz w:val="22"/>
        </w:rPr>
        <w:t> </w:t>
      </w:r>
      <w:r>
        <w:rPr>
          <w:i/>
          <w:color w:val="FFFFFF"/>
          <w:sz w:val="22"/>
        </w:rPr>
        <w:t>000-</w:t>
      </w:r>
      <w:r>
        <w:rPr>
          <w:i/>
          <w:color w:val="FFFFFF"/>
          <w:spacing w:val="-4"/>
          <w:sz w:val="22"/>
        </w:rPr>
        <w:t>0000</w:t>
      </w:r>
    </w:p>
    <w:p>
      <w:pPr>
        <w:pStyle w:val="Heading3"/>
        <w:spacing w:line="280" w:lineRule="auto"/>
      </w:pPr>
      <w:r>
        <w:rPr>
          <w:b w:val="0"/>
        </w:rPr>
        <w:br w:type="column"/>
      </w:r>
      <w:r>
        <w:rPr>
          <w:color w:val="FFFFFF"/>
          <w:w w:val="105"/>
        </w:rPr>
        <w:t>MICU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emergencies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chronic condition management</w:t>
      </w:r>
    </w:p>
    <w:p>
      <w:pPr>
        <w:pStyle w:val="BodyText"/>
        <w:spacing w:line="280" w:lineRule="auto" w:before="107"/>
        <w:ind w:left="51" w:right="94" w:firstLine="0"/>
      </w:pPr>
      <w:r>
        <w:rPr>
          <w:color w:val="FFFFFF"/>
        </w:rPr>
        <w:t>Experienced MICU Nurse with 10 years of experience stabilizing patients</w:t>
      </w:r>
      <w:r>
        <w:rPr>
          <w:color w:val="FFFFFF"/>
          <w:spacing w:val="-9"/>
        </w:rPr>
        <w:t> </w:t>
      </w:r>
      <w:r>
        <w:rPr>
          <w:color w:val="FFFFFF"/>
        </w:rPr>
        <w:t>with</w:t>
      </w:r>
      <w:r>
        <w:rPr>
          <w:color w:val="FFFFFF"/>
          <w:spacing w:val="-2"/>
        </w:rPr>
        <w:t> </w:t>
      </w:r>
      <w:r>
        <w:rPr>
          <w:color w:val="FFFFFF"/>
        </w:rPr>
        <w:t>respiratory</w:t>
      </w:r>
      <w:r>
        <w:rPr>
          <w:color w:val="FFFFFF"/>
          <w:spacing w:val="-9"/>
        </w:rPr>
        <w:t> </w:t>
      </w:r>
      <w:r>
        <w:rPr>
          <w:color w:val="FFFFFF"/>
        </w:rPr>
        <w:t>failure,</w:t>
      </w:r>
      <w:r>
        <w:rPr>
          <w:color w:val="FFFFFF"/>
          <w:spacing w:val="-2"/>
        </w:rPr>
        <w:t> </w:t>
      </w:r>
      <w:r>
        <w:rPr>
          <w:color w:val="FFFFFF"/>
        </w:rPr>
        <w:t>sepsis,</w:t>
      </w:r>
      <w:r>
        <w:rPr>
          <w:color w:val="FFFFFF"/>
          <w:spacing w:val="-2"/>
        </w:rPr>
        <w:t> </w:t>
      </w:r>
      <w:r>
        <w:rPr>
          <w:color w:val="FFFFFF"/>
        </w:rPr>
        <w:t>renal</w:t>
      </w:r>
      <w:r>
        <w:rPr>
          <w:color w:val="FFFFFF"/>
          <w:spacing w:val="-10"/>
        </w:rPr>
        <w:t> </w:t>
      </w:r>
      <w:r>
        <w:rPr>
          <w:color w:val="FFFFFF"/>
        </w:rPr>
        <w:t>failure,</w:t>
      </w:r>
      <w:r>
        <w:rPr>
          <w:color w:val="FFFFFF"/>
          <w:spacing w:val="-2"/>
        </w:rPr>
        <w:t> </w:t>
      </w:r>
      <w:r>
        <w:rPr>
          <w:color w:val="FFFFFF"/>
        </w:rPr>
        <w:t>and</w:t>
      </w:r>
      <w:r>
        <w:rPr>
          <w:color w:val="FFFFFF"/>
          <w:spacing w:val="-2"/>
        </w:rPr>
        <w:t> </w:t>
      </w:r>
      <w:r>
        <w:rPr>
          <w:color w:val="FFFFFF"/>
        </w:rPr>
        <w:t>metabolic disorders. Adept in ventilator management, dialysis coordination, and interdisciplinary rounds.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283"/>
          <w:cols w:num="2" w:equalWidth="0">
            <w:col w:w="3503" w:space="868"/>
            <w:col w:w="6983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860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86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860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86062"/>
                              </a:lnTo>
                              <a:lnTo>
                                <a:pt x="7568171" y="288606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7.25pt;mso-position-horizontal-relative:page;mso-position-vertical-relative:page;z-index:-15781888" id="docshape1" coordorigin="0,0" coordsize="11919,4545" path="m11918,0l0,0,0,510,0,525,0,4545,11918,4545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69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384d6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62"/>
      </w:pP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4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05"/>
          <w:sz w:val="22"/>
        </w:rPr>
        <w:t>Continuous renal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replacement</w:t>
      </w:r>
      <w:r>
        <w:rPr>
          <w:color w:val="232323"/>
          <w:spacing w:val="-1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therapy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(CRRT)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Electrolyte</w:t>
      </w:r>
      <w:r>
        <w:rPr>
          <w:color w:val="232323"/>
          <w:spacing w:val="25"/>
          <w:sz w:val="22"/>
        </w:rPr>
        <w:t> </w:t>
      </w:r>
      <w:r>
        <w:rPr>
          <w:color w:val="232323"/>
          <w:sz w:val="22"/>
        </w:rPr>
        <w:t>imbalance</w:t>
      </w:r>
      <w:r>
        <w:rPr>
          <w:color w:val="232323"/>
          <w:spacing w:val="26"/>
          <w:sz w:val="22"/>
        </w:rPr>
        <w:t> </w:t>
      </w:r>
      <w:r>
        <w:rPr>
          <w:color w:val="232323"/>
          <w:spacing w:val="-2"/>
          <w:sz w:val="22"/>
        </w:rPr>
        <w:t>correction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Invasive</w:t>
      </w:r>
      <w:r>
        <w:rPr>
          <w:color w:val="232323"/>
          <w:spacing w:val="20"/>
          <w:sz w:val="22"/>
        </w:rPr>
        <w:t> </w:t>
      </w:r>
      <w:r>
        <w:rPr>
          <w:color w:val="232323"/>
          <w:spacing w:val="-2"/>
          <w:sz w:val="22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Respiratory</w:t>
      </w:r>
      <w:r>
        <w:rPr>
          <w:color w:val="232323"/>
          <w:spacing w:val="-7"/>
          <w:sz w:val="22"/>
        </w:rPr>
        <w:t> </w:t>
      </w:r>
      <w:r>
        <w:rPr>
          <w:color w:val="232323"/>
          <w:sz w:val="22"/>
        </w:rPr>
        <w:t>failure </w:t>
      </w:r>
      <w:r>
        <w:rPr>
          <w:color w:val="232323"/>
          <w:spacing w:val="-2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Sepsis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treatment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sz w:val="22"/>
        </w:rPr>
        <w:t>Ventilator</w:t>
      </w:r>
      <w:r>
        <w:rPr>
          <w:color w:val="232323"/>
          <w:spacing w:val="-12"/>
          <w:sz w:val="22"/>
        </w:rPr>
        <w:t> </w:t>
      </w:r>
      <w:r>
        <w:rPr>
          <w:color w:val="232323"/>
          <w:spacing w:val="-2"/>
          <w:sz w:val="22"/>
        </w:rPr>
        <w:t>troubleshooting</w:t>
      </w:r>
    </w:p>
    <w:p>
      <w:pPr>
        <w:pStyle w:val="BodyText"/>
        <w:spacing w:before="55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198070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596082pt;width:563.249955pt;height:.75pt;mso-position-horizontal-relative:page;mso-position-vertical-relative:paragraph;z-index:-15728128;mso-wrap-distance-left:0;mso-wrap-distance-right:0" id="docshape4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384D6A"/>
          <w:w w:val="125"/>
        </w:rPr>
        <w:t>Professional</w:t>
      </w:r>
      <w:r>
        <w:rPr>
          <w:color w:val="384D6A"/>
          <w:spacing w:val="28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tabs>
          <w:tab w:pos="1426" w:val="left" w:leader="none"/>
        </w:tabs>
        <w:spacing w:before="204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2"/>
          <w:w w:val="110"/>
          <w:sz w:val="18"/>
        </w:rPr>
        <w:t>MICU</w:t>
      </w:r>
      <w:r>
        <w:rPr>
          <w:rFonts w:ascii="Calibri"/>
          <w:b/>
          <w:color w:val="232323"/>
          <w:spacing w:val="55"/>
          <w:w w:val="110"/>
          <w:sz w:val="18"/>
        </w:rPr>
        <w:t> </w:t>
      </w:r>
      <w:r>
        <w:rPr>
          <w:rFonts w:ascii="Calibri"/>
          <w:b/>
          <w:color w:val="232323"/>
          <w:spacing w:val="-2"/>
          <w:w w:val="110"/>
          <w:sz w:val="18"/>
        </w:rPr>
        <w:t>Nurse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pacing w:val="-2"/>
          <w:sz w:val="22"/>
        </w:rPr>
        <w:t>Northwestern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Memorial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2"/>
          <w:sz w:val="22"/>
        </w:rPr>
        <w:t>Hospital,</w:t>
      </w:r>
      <w:r>
        <w:rPr>
          <w:i/>
          <w:color w:val="232323"/>
          <w:spacing w:val="-7"/>
          <w:sz w:val="22"/>
        </w:rPr>
        <w:t> </w:t>
      </w:r>
      <w:r>
        <w:rPr>
          <w:i/>
          <w:color w:val="232323"/>
          <w:spacing w:val="-2"/>
          <w:sz w:val="22"/>
        </w:rPr>
        <w:t>Chicago,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IL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January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sz w:val="22"/>
        </w:rPr>
        <w:t>2018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453" w:hanging="347"/>
        <w:jc w:val="left"/>
        <w:rPr>
          <w:sz w:val="22"/>
        </w:rPr>
      </w:pPr>
      <w:r>
        <w:rPr>
          <w:color w:val="232323"/>
          <w:w w:val="105"/>
          <w:sz w:val="22"/>
        </w:rPr>
        <w:t>Manage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two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to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three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medically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complex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patients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per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shift,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including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ventilator-dependent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dialysis </w:t>
      </w:r>
      <w:r>
        <w:rPr>
          <w:color w:val="232323"/>
          <w:spacing w:val="-2"/>
          <w:w w:val="105"/>
          <w:sz w:val="22"/>
        </w:rPr>
        <w:t>patients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Collaborate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with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nephrology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infectious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disease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teams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to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develop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care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Mentored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six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new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hires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as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part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of</w:t>
      </w:r>
      <w:r>
        <w:rPr>
          <w:color w:val="232323"/>
          <w:spacing w:val="-16"/>
          <w:w w:val="105"/>
          <w:sz w:val="22"/>
        </w:rPr>
        <w:t> </w:t>
      </w:r>
      <w:r>
        <w:rPr>
          <w:color w:val="232323"/>
          <w:w w:val="105"/>
          <w:sz w:val="22"/>
        </w:rPr>
        <w:t>the</w:t>
      </w:r>
      <w:r>
        <w:rPr>
          <w:color w:val="232323"/>
          <w:spacing w:val="-12"/>
          <w:w w:val="105"/>
          <w:sz w:val="22"/>
        </w:rPr>
        <w:t> </w:t>
      </w:r>
      <w:r>
        <w:rPr>
          <w:color w:val="232323"/>
          <w:w w:val="105"/>
          <w:sz w:val="22"/>
        </w:rPr>
        <w:t>MICU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preceptor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program</w:t>
      </w:r>
    </w:p>
    <w:p>
      <w:pPr>
        <w:pStyle w:val="BodyText"/>
        <w:spacing w:before="14"/>
        <w:ind w:left="0" w:firstLine="0"/>
      </w:pPr>
    </w:p>
    <w:p>
      <w:pPr>
        <w:tabs>
          <w:tab w:pos="1249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2"/>
          <w:w w:val="110"/>
          <w:sz w:val="18"/>
        </w:rPr>
        <w:t>ICU</w:t>
      </w:r>
      <w:r>
        <w:rPr>
          <w:rFonts w:ascii="Calibri"/>
          <w:b/>
          <w:color w:val="232323"/>
          <w:spacing w:val="54"/>
          <w:w w:val="110"/>
          <w:sz w:val="18"/>
        </w:rPr>
        <w:t> </w:t>
      </w:r>
      <w:r>
        <w:rPr>
          <w:rFonts w:ascii="Calibri"/>
          <w:b/>
          <w:color w:val="232323"/>
          <w:spacing w:val="-4"/>
          <w:w w:val="110"/>
          <w:sz w:val="18"/>
        </w:rPr>
        <w:t>Nurse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pacing w:val="-2"/>
          <w:sz w:val="22"/>
        </w:rPr>
        <w:t>Rush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sz w:val="22"/>
        </w:rPr>
        <w:t>University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Medical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sz w:val="22"/>
        </w:rPr>
        <w:t>Center,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Chicago,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IL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May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2014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December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Treated</w:t>
      </w:r>
      <w:r>
        <w:rPr>
          <w:color w:val="232323"/>
          <w:spacing w:val="-13"/>
          <w:sz w:val="22"/>
        </w:rPr>
        <w:t> </w:t>
      </w:r>
      <w:r>
        <w:rPr>
          <w:color w:val="232323"/>
          <w:sz w:val="22"/>
        </w:rPr>
        <w:t>patients</w:t>
      </w:r>
      <w:r>
        <w:rPr>
          <w:color w:val="232323"/>
          <w:spacing w:val="-16"/>
          <w:sz w:val="22"/>
        </w:rPr>
        <w:t> </w:t>
      </w:r>
      <w:r>
        <w:rPr>
          <w:color w:val="232323"/>
          <w:sz w:val="22"/>
        </w:rPr>
        <w:t>with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respiratory,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hepatic,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and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renal</w:t>
      </w:r>
      <w:r>
        <w:rPr>
          <w:color w:val="232323"/>
          <w:spacing w:val="-17"/>
          <w:sz w:val="22"/>
        </w:rPr>
        <w:t> </w:t>
      </w:r>
      <w:r>
        <w:rPr>
          <w:color w:val="232323"/>
          <w:spacing w:val="-2"/>
          <w:sz w:val="22"/>
        </w:rPr>
        <w:t>failure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Participated</w:t>
      </w:r>
      <w:r>
        <w:rPr>
          <w:color w:val="232323"/>
          <w:spacing w:val="2"/>
          <w:sz w:val="22"/>
        </w:rPr>
        <w:t> </w:t>
      </w:r>
      <w:r>
        <w:rPr>
          <w:color w:val="232323"/>
          <w:sz w:val="22"/>
        </w:rPr>
        <w:t>in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a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sepsis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quality</w:t>
      </w:r>
      <w:r>
        <w:rPr>
          <w:color w:val="232323"/>
          <w:spacing w:val="-5"/>
          <w:sz w:val="22"/>
        </w:rPr>
        <w:t> </w:t>
      </w:r>
      <w:r>
        <w:rPr>
          <w:color w:val="232323"/>
          <w:sz w:val="22"/>
        </w:rPr>
        <w:t>improvement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initiative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that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lowered</w:t>
      </w:r>
      <w:r>
        <w:rPr>
          <w:color w:val="232323"/>
          <w:spacing w:val="2"/>
          <w:sz w:val="22"/>
        </w:rPr>
        <w:t> </w:t>
      </w:r>
      <w:r>
        <w:rPr>
          <w:color w:val="232323"/>
          <w:sz w:val="22"/>
        </w:rPr>
        <w:t>ICU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mortality</w:t>
      </w:r>
      <w:r>
        <w:rPr>
          <w:color w:val="232323"/>
          <w:spacing w:val="-4"/>
          <w:sz w:val="22"/>
        </w:rPr>
        <w:t> </w:t>
      </w:r>
      <w:r>
        <w:rPr>
          <w:color w:val="232323"/>
          <w:sz w:val="22"/>
        </w:rPr>
        <w:t>by</w:t>
      </w:r>
      <w:r>
        <w:rPr>
          <w:color w:val="232323"/>
          <w:spacing w:val="-5"/>
          <w:sz w:val="22"/>
        </w:rPr>
        <w:t> 12%</w:t>
      </w:r>
    </w:p>
    <w:p>
      <w:pPr>
        <w:pStyle w:val="BodyText"/>
        <w:spacing w:before="4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188417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36059pt;width:563.249955pt;height:.75pt;mso-position-horizontal-relative:page;mso-position-vertical-relative:paragraph;z-index:-15727616;mso-wrap-distance-left:0;mso-wrap-distance-right:0" id="docshape5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384D6A"/>
          <w:spacing w:val="-2"/>
          <w:w w:val="130"/>
        </w:rPr>
        <w:t>Education</w:t>
      </w:r>
    </w:p>
    <w:p>
      <w:pPr>
        <w:tabs>
          <w:tab w:pos="3266" w:val="left" w:leader="none"/>
        </w:tabs>
        <w:spacing w:before="219"/>
        <w:ind w:left="51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50"/>
          <w:w w:val="120"/>
          <w:sz w:val="18"/>
        </w:rPr>
        <w:t> </w:t>
      </w:r>
      <w:r>
        <w:rPr>
          <w:rFonts w:ascii="Calibri"/>
          <w:b/>
          <w:color w:val="232323"/>
          <w:w w:val="110"/>
          <w:sz w:val="18"/>
        </w:rPr>
        <w:t>of</w:t>
      </w:r>
      <w:r>
        <w:rPr>
          <w:rFonts w:ascii="Calibri"/>
          <w:b/>
          <w:color w:val="232323"/>
          <w:spacing w:val="51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Science</w:t>
      </w:r>
      <w:r>
        <w:rPr>
          <w:rFonts w:ascii="Calibri"/>
          <w:b/>
          <w:color w:val="232323"/>
          <w:spacing w:val="50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51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Nursing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spacing w:val="-2"/>
          <w:w w:val="105"/>
          <w:sz w:val="22"/>
        </w:rPr>
        <w:t>Loyola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University</w:t>
      </w:r>
      <w:r>
        <w:rPr>
          <w:color w:val="232323"/>
          <w:spacing w:val="-15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Chicago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85"/>
          <w:sz w:val="22"/>
        </w:rPr>
        <w:t>|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2014</w:t>
      </w:r>
    </w:p>
    <w:p>
      <w:pPr>
        <w:pStyle w:val="BodyText"/>
        <w:spacing w:before="129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245216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308393pt;width:563.249955pt;height:.75pt;mso-position-horizontal-relative:page;mso-position-vertical-relative:paragraph;z-index:-15727104;mso-wrap-distance-left:0;mso-wrap-distance-right:0" id="docshape6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384D6A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19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ACLS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BLS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1"/>
          <w:sz w:val="22"/>
        </w:rPr>
        <w:t> </w:t>
      </w:r>
      <w:r>
        <w:rPr>
          <w:color w:val="232323"/>
          <w:spacing w:val="-4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CCRN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2019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1"/>
      <w:ind w:left="51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7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51" w:right="94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2025-12-13T23:31:16Z</dcterms:created>
  <dcterms:modified xsi:type="dcterms:W3CDTF">2025-12-13T23:31:16Z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