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33373C"/>
          <w:spacing w:val="-9"/>
        </w:rPr>
        <w:t>LOGAN</w:t>
      </w:r>
      <w:r>
        <w:rPr>
          <w:color w:val="33373C"/>
          <w:spacing w:val="-32"/>
        </w:rPr>
        <w:t> </w:t>
      </w:r>
      <w:r>
        <w:rPr>
          <w:color w:val="33373C"/>
          <w:spacing w:val="-4"/>
        </w:rPr>
        <w:t>HALL</w:t>
      </w:r>
    </w:p>
    <w:p>
      <w:pPr>
        <w:pStyle w:val="Heading2"/>
      </w:pPr>
      <w:r>
        <w:rPr/>
        <w:t>Foreclosure</w:t>
      </w:r>
      <w:r>
        <w:rPr>
          <w:spacing w:val="-17"/>
        </w:rPr>
        <w:t> </w:t>
      </w:r>
      <w:r>
        <w:rPr/>
        <w:t>Legal</w:t>
      </w:r>
      <w:r>
        <w:rPr>
          <w:spacing w:val="-17"/>
        </w:rPr>
        <w:t> </w:t>
      </w:r>
      <w:r>
        <w:rPr>
          <w:spacing w:val="-2"/>
        </w:rPr>
        <w:t>Assistant</w:t>
      </w:r>
    </w:p>
    <w:p>
      <w:pPr>
        <w:pStyle w:val="BodyText"/>
        <w:spacing w:line="268" w:lineRule="auto" w:before="83"/>
        <w:ind w:left="51"/>
      </w:pPr>
      <w:r>
        <w:rPr/>
        <w:br w:type="column"/>
      </w:r>
      <w:r>
        <w:rPr>
          <w:color w:val="33373C"/>
          <w:w w:val="120"/>
        </w:rPr>
        <w:t>City, ST </w:t>
      </w:r>
      <w:hyperlink r:id="rId5">
        <w:r>
          <w:rPr>
            <w:color w:val="33373C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33373C"/>
          <w:w w:val="110"/>
        </w:rPr>
        <w:t>(123)</w:t>
      </w:r>
      <w:r>
        <w:rPr>
          <w:color w:val="33373C"/>
          <w:spacing w:val="12"/>
          <w:w w:val="110"/>
        </w:rPr>
        <w:t> </w:t>
      </w:r>
      <w:r>
        <w:rPr>
          <w:color w:val="33373C"/>
          <w:w w:val="110"/>
        </w:rPr>
        <w:t>456-</w:t>
      </w:r>
      <w:r>
        <w:rPr>
          <w:color w:val="33373C"/>
          <w:spacing w:val="-4"/>
          <w:w w:val="110"/>
        </w:rPr>
        <w:t>7890</w:t>
      </w:r>
    </w:p>
    <w:p>
      <w:pPr>
        <w:pStyle w:val="BodyText"/>
        <w:spacing w:line="268" w:lineRule="auto" w:before="31"/>
        <w:ind w:left="51"/>
      </w:pPr>
      <w:hyperlink r:id="rId6">
        <w:r>
          <w:rPr>
            <w:color w:val="33373C"/>
            <w:spacing w:val="-2"/>
            <w:w w:val="120"/>
          </w:rPr>
          <w:t>www.example.com/p</w:t>
        </w:r>
      </w:hyperlink>
      <w:r>
        <w:rPr>
          <w:color w:val="33373C"/>
          <w:spacing w:val="-2"/>
          <w:w w:val="120"/>
        </w:rPr>
        <w:t> 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4482" w:space="4390"/>
            <w:col w:w="2482"/>
          </w:cols>
        </w:sectPr>
      </w:pPr>
    </w:p>
    <w:p>
      <w:pPr>
        <w:pStyle w:val="BodyText"/>
        <w:spacing w:before="180"/>
      </w:pPr>
    </w:p>
    <w:p>
      <w:pPr>
        <w:pStyle w:val="Heading4"/>
        <w:rPr>
          <w:rFonts w:ascii="Calibri"/>
        </w:rPr>
      </w:pPr>
      <w:r>
        <w:rPr>
          <w:rFonts w:ascii="Calibri"/>
          <w:w w:val="130"/>
        </w:rPr>
        <w:t>Foreclosure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w w:val="130"/>
        </w:rPr>
        <w:t>Legal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w w:val="130"/>
        </w:rPr>
        <w:t>Assistant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w w:val="130"/>
        </w:rPr>
        <w:t>with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w w:val="130"/>
        </w:rPr>
        <w:t>expertise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w w:val="130"/>
        </w:rPr>
        <w:t>lender-side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w w:val="130"/>
        </w:rPr>
        <w:t>litigation</w:t>
      </w:r>
      <w:r>
        <w:rPr>
          <w:rFonts w:ascii="Calibri"/>
          <w:spacing w:val="-16"/>
          <w:w w:val="130"/>
        </w:rPr>
        <w:t> </w:t>
      </w:r>
      <w:r>
        <w:rPr>
          <w:rFonts w:ascii="Calibri"/>
          <w:spacing w:val="-2"/>
          <w:w w:val="130"/>
        </w:rPr>
        <w:t>support</w:t>
      </w:r>
    </w:p>
    <w:p>
      <w:pPr>
        <w:pStyle w:val="BodyText"/>
        <w:spacing w:line="261" w:lineRule="auto" w:before="151"/>
        <w:ind w:left="51"/>
      </w:pPr>
      <w:r>
        <w:rPr>
          <w:w w:val="125"/>
        </w:rPr>
        <w:t>Experienced</w:t>
      </w:r>
      <w:r>
        <w:rPr>
          <w:spacing w:val="-3"/>
          <w:w w:val="125"/>
        </w:rPr>
        <w:t> </w:t>
      </w:r>
      <w:r>
        <w:rPr>
          <w:w w:val="125"/>
        </w:rPr>
        <w:t>Legal</w:t>
      </w:r>
      <w:r>
        <w:rPr>
          <w:spacing w:val="-3"/>
          <w:w w:val="125"/>
        </w:rPr>
        <w:t> </w:t>
      </w:r>
      <w:r>
        <w:rPr>
          <w:w w:val="125"/>
        </w:rPr>
        <w:t>Assistant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8</w:t>
      </w:r>
      <w:r>
        <w:rPr>
          <w:spacing w:val="-3"/>
          <w:w w:val="125"/>
        </w:rPr>
        <w:t> </w:t>
      </w:r>
      <w:r>
        <w:rPr>
          <w:w w:val="125"/>
        </w:rPr>
        <w:t>years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background</w:t>
      </w:r>
      <w:r>
        <w:rPr>
          <w:spacing w:val="-3"/>
          <w:w w:val="125"/>
        </w:rPr>
        <w:t> </w:t>
      </w:r>
      <w:r>
        <w:rPr>
          <w:w w:val="125"/>
        </w:rPr>
        <w:t>supporting</w:t>
      </w:r>
      <w:r>
        <w:rPr>
          <w:spacing w:val="-3"/>
          <w:w w:val="125"/>
        </w:rPr>
        <w:t> </w:t>
      </w:r>
      <w:r>
        <w:rPr>
          <w:w w:val="125"/>
        </w:rPr>
        <w:t>attorneys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w w:val="125"/>
        </w:rPr>
        <w:t>foreclosure</w:t>
      </w:r>
      <w:r>
        <w:rPr>
          <w:spacing w:val="-3"/>
          <w:w w:val="125"/>
        </w:rPr>
        <w:t> </w:t>
      </w:r>
      <w:r>
        <w:rPr>
          <w:w w:val="125"/>
        </w:rPr>
        <w:t>actions, bankruptcy crossover cases, and loan servicing litigation. Focused on accuracy and timeline </w:t>
      </w:r>
      <w:r>
        <w:rPr>
          <w:spacing w:val="-2"/>
          <w:w w:val="125"/>
        </w:rPr>
        <w:t>compliance.</w:t>
      </w:r>
    </w:p>
    <w:p>
      <w:pPr>
        <w:pStyle w:val="BodyText"/>
        <w:spacing w:before="135"/>
        <w:rPr>
          <w:sz w:val="26"/>
        </w:rPr>
      </w:pPr>
    </w:p>
    <w:p>
      <w:pPr>
        <w:pStyle w:val="Heading3"/>
        <w:tabs>
          <w:tab w:pos="4087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33373C"/>
          <w:spacing w:val="-2"/>
        </w:rPr>
        <w:t>Professional</w:t>
      </w:r>
      <w:r>
        <w:rPr>
          <w:color w:val="33373C"/>
          <w:spacing w:val="2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203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1657350</wp:posOffset>
                </wp:positionV>
                <wp:extent cx="7568565" cy="9048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48750"/>
                          <a:chExt cx="7568565" cy="9048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5264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667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86727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20050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97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6146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6193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3043236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30479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4623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4670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8909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8957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31006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314824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010012" y="2114549"/>
                            <a:ext cx="47625" cy="278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813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781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30.500015pt;width:595.950pt;height:712.5pt;mso-position-horizontal-relative:page;mso-position-vertical-relative:page;z-index:-15780352" id="docshapegroup1" coordorigin="0,2610" coordsize="11919,14250">
                <v:rect style="position:absolute;left:0;top:6000;width:4035;height:10860" id="docshape2" filled="true" fillcolor="#33373c" stroked="false">
                  <v:fill type="solid"/>
                </v:rect>
                <v:rect style="position:absolute;left:0;top:2610;width:11919;height:1680" id="docshape3" filled="true" fillcolor="#f1f4f4" stroked="false">
                  <v:fill type="solid"/>
                </v:rect>
                <v:rect style="position:absolute;left:0;top:4290;width:4035;height:9300" id="docshape4" filled="true" fillcolor="#33373c" stroked="false">
                  <v:fill type="solid"/>
                </v:rect>
                <v:rect style="position:absolute;left:0;top:10275;width:4035;height:15" id="docshape5" filled="true" fillcolor="#ffffff" stroked="false">
                  <v:fill type="solid"/>
                </v:rect>
                <v:rect style="position:absolute;left:337;top:5092;width:3360;height:90" id="docshape6" filled="false" stroked="true" strokeweight=".75pt" strokecolor="#ffffff">
                  <v:stroke dashstyle="solid"/>
                </v:rect>
                <v:rect style="position:absolute;left:345;top:5100;width:3345;height:90" id="docshape7" filled="true" fillcolor="#ffffff" stroked="false">
                  <v:fill type="solid"/>
                </v:rect>
                <v:rect style="position:absolute;left:337;top:5767;width:3360;height:90" id="docshape8" filled="false" stroked="true" strokeweight=".75pt" strokecolor="#ffffff">
                  <v:stroke dashstyle="solid"/>
                </v:rect>
                <v:rect style="position:absolute;left:345;top:5775;width:2670;height:90" id="docshape9" filled="true" fillcolor="#ffffff" stroked="false">
                  <v:fill type="solid"/>
                </v:rect>
                <v:rect style="position:absolute;left:337;top:6727;width:3360;height:90" id="docshape10" filled="false" stroked="true" strokeweight=".75pt" strokecolor="#ffffff">
                  <v:stroke dashstyle="solid"/>
                </v:rect>
                <v:rect style="position:absolute;left:345;top:6735;width:2670;height:90" id="docshape11" filled="true" fillcolor="#ffffff" stroked="false">
                  <v:fill type="solid"/>
                </v:rect>
                <v:rect style="position:absolute;left:337;top:7402;width:3360;height:90" id="docshape12" filled="false" stroked="true" strokeweight=".75pt" strokecolor="#ffffff">
                  <v:stroke dashstyle="solid"/>
                </v:rect>
                <v:rect style="position:absolute;left:345;top:7410;width:2010;height:90" id="docshape13" filled="true" fillcolor="#ffffff" stroked="false">
                  <v:fill type="solid"/>
                </v:rect>
                <v:rect style="position:absolute;left:337;top:8062;width:3360;height:105" id="docshape14" filled="false" stroked="true" strokeweight=".75pt" strokecolor="#ffffff">
                  <v:stroke dashstyle="solid"/>
                </v:rect>
                <v:rect style="position:absolute;left:345;top:8070;width:2010;height:90" id="docshape15" filled="true" fillcolor="#ffffff" stroked="false">
                  <v:fill type="solid"/>
                </v:rect>
                <v:rect style="position:absolute;left:337;top:8737;width:3360;height:90" id="docshape16" filled="false" stroked="true" strokeweight=".75pt" strokecolor="#ffffff">
                  <v:stroke dashstyle="solid"/>
                </v:rect>
                <v:rect style="position:absolute;left:345;top:8745;width:1335;height:90" id="docshape17" filled="true" fillcolor="#ffffff" stroked="false">
                  <v:fill type="solid"/>
                </v:rect>
                <v:rect style="position:absolute;left:337;top:9397;width:3360;height:105" id="docshape18" filled="false" stroked="true" strokeweight=".75pt" strokecolor="#ffffff">
                  <v:stroke dashstyle="solid"/>
                </v:rect>
                <v:rect style="position:absolute;left:345;top:9405;width:1335;height:105" id="docshape19" filled="true" fillcolor="#ffffff" stroked="false">
                  <v:fill type="solid"/>
                </v:rect>
                <v:shape style="position:absolute;left:6314;top:5940;width:75;height:4380" id="docshape20" coordorigin="6315,5940" coordsize="75,4380" path="m6390,10277l6389,10272,6385,10263,6383,10259,6376,10252,6372,10250,6363,10246,6358,10245,6347,10245,6342,10246,6333,10250,6329,10252,6322,10259,6320,10263,6316,10272,6315,10277,6315,10283,6315,10288,6316,10293,6320,10302,6322,10306,6329,10313,6333,10315,6342,10319,6347,10320,6358,10320,6363,10319,6372,10315,6376,10313,6383,10306,6385,10302,6389,10293,6390,10288,6390,10277xm6390,9302l6389,9297,6385,9288,6383,9284,6376,9277,6372,9275,6363,9271,6358,9270,6347,9270,6342,9271,6333,9275,6329,9277,6322,9284,6320,9288,6316,9297,6315,9302,6315,9308,6315,9313,6316,9318,6320,9327,6322,9331,6329,9338,6333,9340,6342,9344,6347,9345,6358,9345,6363,9344,6372,9340,6376,9338,6383,9331,6385,9327,6389,9318,6390,9313,6390,9302xm6390,7637l6389,7632,6385,7623,6383,7619,6376,7612,6372,7610,6363,7606,6358,7605,6347,7605,6342,7606,6333,7610,6329,7612,6322,7619,6320,7623,6316,7632,6315,7637,6315,7643,6315,7648,6316,7653,6320,7662,6322,7666,6329,7673,6333,7675,6342,7679,6347,7680,6358,7680,6363,7679,6372,7675,6376,7673,6383,7666,6385,7662,6389,7653,6390,7648,6390,7637xm6390,6962l6389,6957,6385,6948,6383,6944,6376,6937,6372,6935,6363,6931,6358,6930,6347,6930,6342,6931,6333,6935,6329,6937,6322,6944,6320,6948,6316,6957,6315,6962,6315,6968,6315,6973,6316,6978,6320,6987,6322,6991,6329,6998,6333,7000,6342,7004,6347,7005,6358,7005,6363,7004,6372,7000,6376,6998,6383,6991,6385,6987,6389,6978,6390,6973,6390,6962xm6390,5972l6389,5967,6385,5958,6383,5954,6376,5947,6372,5945,6363,5941,6358,5940,6347,5940,6342,5941,6333,5945,6329,5947,6322,5954,6320,5958,6316,5967,6315,5972,6315,5978,6315,5983,6316,5988,6320,5997,6322,6001,6329,6008,6333,6010,6342,6014,6347,6015,6358,6015,6363,6014,6372,6010,6376,6008,6383,6001,6385,5997,6389,5988,6390,5983,6390,5972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</w:pPr>
      <w:r>
        <w:rPr>
          <w:color w:val="FFFFFF"/>
          <w:spacing w:val="-2"/>
          <w:w w:val="125"/>
        </w:rPr>
        <w:t>Foreclosure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proceedings</w:t>
      </w:r>
    </w:p>
    <w:p>
      <w:pPr>
        <w:pStyle w:val="BodyText"/>
        <w:spacing w:before="123"/>
      </w:pPr>
    </w:p>
    <w:p>
      <w:pPr>
        <w:pStyle w:val="BodyText"/>
        <w:spacing w:line="268" w:lineRule="auto"/>
        <w:ind w:left="51"/>
      </w:pPr>
      <w:r>
        <w:rPr>
          <w:color w:val="FFFFFF"/>
          <w:spacing w:val="-2"/>
          <w:w w:val="130"/>
        </w:rPr>
        <w:t>Bankruptcy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2"/>
          <w:w w:val="130"/>
        </w:rPr>
        <w:t>document handling</w:t>
      </w:r>
    </w:p>
    <w:p>
      <w:pPr>
        <w:pStyle w:val="BodyText"/>
        <w:spacing w:before="104"/>
      </w:pPr>
    </w:p>
    <w:p>
      <w:pPr>
        <w:pStyle w:val="BodyText"/>
        <w:spacing w:before="1"/>
        <w:ind w:left="51"/>
      </w:pPr>
      <w:r>
        <w:rPr>
          <w:color w:val="FFFFFF"/>
          <w:w w:val="125"/>
        </w:rPr>
        <w:t>Court</w:t>
      </w:r>
      <w:r>
        <w:rPr>
          <w:color w:val="FFFFFF"/>
          <w:spacing w:val="-7"/>
          <w:w w:val="125"/>
        </w:rPr>
        <w:t> </w:t>
      </w:r>
      <w:r>
        <w:rPr>
          <w:color w:val="FFFFFF"/>
          <w:spacing w:val="-2"/>
          <w:w w:val="125"/>
        </w:rPr>
        <w:t>scheduling</w:t>
      </w:r>
    </w:p>
    <w:p>
      <w:pPr>
        <w:pStyle w:val="BodyText"/>
        <w:spacing w:before="122"/>
      </w:pPr>
    </w:p>
    <w:p>
      <w:pPr>
        <w:pStyle w:val="BodyText"/>
        <w:spacing w:line="597" w:lineRule="auto" w:before="1"/>
        <w:ind w:left="51" w:right="224"/>
      </w:pPr>
      <w:r>
        <w:rPr>
          <w:color w:val="FFFFFF"/>
          <w:w w:val="125"/>
        </w:rPr>
        <w:t>Legal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document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review Loan documentation Client updates</w:t>
      </w:r>
    </w:p>
    <w:p>
      <w:pPr>
        <w:pStyle w:val="BodyText"/>
        <w:spacing w:before="3"/>
        <w:ind w:left="51"/>
      </w:pPr>
      <w:r>
        <w:rPr>
          <w:color w:val="FFFFFF"/>
          <w:w w:val="125"/>
        </w:rPr>
        <w:t>Clio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ECF</w:t>
      </w:r>
      <w:r>
        <w:rPr>
          <w:color w:val="FFFFFF"/>
          <w:spacing w:val="11"/>
          <w:w w:val="125"/>
        </w:rPr>
        <w:t> </w:t>
      </w:r>
      <w:r>
        <w:rPr>
          <w:color w:val="FFFFFF"/>
          <w:spacing w:val="-2"/>
          <w:w w:val="125"/>
        </w:rPr>
        <w:t>system</w:t>
      </w: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Heading4"/>
        <w:spacing w:line="285" w:lineRule="auto" w:before="219"/>
      </w:pPr>
      <w:r>
        <w:rPr>
          <w:color w:val="FFFFFF"/>
        </w:rPr>
        <w:t>Bachelor</w:t>
      </w:r>
      <w:r>
        <w:rPr>
          <w:color w:val="FFFFFF"/>
          <w:spacing w:val="-16"/>
        </w:rPr>
        <w:t> </w:t>
      </w:r>
      <w:r>
        <w:rPr>
          <w:color w:val="FFFFFF"/>
        </w:rPr>
        <w:t>of</w:t>
      </w:r>
      <w:r>
        <w:rPr>
          <w:color w:val="FFFFFF"/>
          <w:spacing w:val="-15"/>
        </w:rPr>
        <w:t> </w:t>
      </w:r>
      <w:r>
        <w:rPr>
          <w:color w:val="FFFFFF"/>
        </w:rPr>
        <w:t>Arts</w:t>
      </w:r>
      <w:r>
        <w:rPr>
          <w:color w:val="FFFFFF"/>
          <w:spacing w:val="-15"/>
        </w:rPr>
        <w:t> </w:t>
      </w:r>
      <w:r>
        <w:rPr>
          <w:color w:val="FFFFFF"/>
        </w:rPr>
        <w:t>in</w:t>
      </w:r>
      <w:r>
        <w:rPr>
          <w:color w:val="FFFFFF"/>
          <w:spacing w:val="-16"/>
        </w:rPr>
        <w:t> </w:t>
      </w:r>
      <w:r>
        <w:rPr>
          <w:color w:val="FFFFFF"/>
        </w:rPr>
        <w:t>Business </w:t>
      </w:r>
      <w:r>
        <w:rPr>
          <w:color w:val="FFFFFF"/>
          <w:spacing w:val="-4"/>
        </w:rPr>
        <w:t>Law</w:t>
      </w:r>
    </w:p>
    <w:p>
      <w:pPr>
        <w:pStyle w:val="BodyText"/>
        <w:spacing w:line="248" w:lineRule="exact"/>
        <w:ind w:left="51"/>
      </w:pPr>
      <w:r>
        <w:rPr>
          <w:color w:val="FFFFFF"/>
          <w:w w:val="110"/>
        </w:rPr>
        <w:t>DePaul</w:t>
      </w:r>
      <w:r>
        <w:rPr>
          <w:color w:val="FFFFFF"/>
          <w:spacing w:val="55"/>
          <w:w w:val="110"/>
        </w:rPr>
        <w:t> </w:t>
      </w:r>
      <w:r>
        <w:rPr>
          <w:color w:val="FFFFFF"/>
          <w:w w:val="110"/>
        </w:rPr>
        <w:t>University</w:t>
      </w:r>
      <w:r>
        <w:rPr>
          <w:color w:val="FFFFFF"/>
          <w:spacing w:val="56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55"/>
          <w:w w:val="110"/>
        </w:rPr>
        <w:t> </w:t>
      </w:r>
      <w:r>
        <w:rPr>
          <w:color w:val="FFFFFF"/>
          <w:w w:val="110"/>
        </w:rPr>
        <w:t>May</w:t>
      </w:r>
      <w:r>
        <w:rPr>
          <w:color w:val="FFFFFF"/>
          <w:spacing w:val="56"/>
          <w:w w:val="110"/>
        </w:rPr>
        <w:t> </w:t>
      </w:r>
      <w:r>
        <w:rPr>
          <w:color w:val="FFFFFF"/>
          <w:spacing w:val="-4"/>
          <w:w w:val="110"/>
        </w:rPr>
        <w:t>2015</w:t>
      </w:r>
    </w:p>
    <w:p>
      <w:pPr>
        <w:pStyle w:val="BodyText"/>
        <w:spacing w:line="268" w:lineRule="auto" w:before="186"/>
        <w:ind w:left="51"/>
      </w:pPr>
      <w:r>
        <w:rPr/>
        <w:br w:type="column"/>
      </w:r>
      <w:r>
        <w:rPr>
          <w:color w:val="58585B"/>
          <w:w w:val="120"/>
        </w:rPr>
        <w:t>October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2017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line="268" w:lineRule="auto"/>
        <w:ind w:left="51" w:right="345"/>
        <w:jc w:val="both"/>
      </w:pPr>
      <w:r>
        <w:rPr>
          <w:color w:val="58585B"/>
          <w:w w:val="120"/>
        </w:rPr>
        <w:t>June</w:t>
      </w:r>
      <w:r>
        <w:rPr>
          <w:color w:val="58585B"/>
          <w:spacing w:val="-5"/>
          <w:w w:val="120"/>
        </w:rPr>
        <w:t> </w:t>
      </w:r>
      <w:r>
        <w:rPr>
          <w:color w:val="58585B"/>
          <w:w w:val="120"/>
        </w:rPr>
        <w:t>2015</w:t>
      </w:r>
      <w:r>
        <w:rPr>
          <w:color w:val="58585B"/>
          <w:spacing w:val="-5"/>
          <w:w w:val="120"/>
        </w:rPr>
        <w:t> </w:t>
      </w:r>
      <w:r>
        <w:rPr>
          <w:color w:val="58585B"/>
          <w:w w:val="120"/>
        </w:rPr>
        <w:t>- </w:t>
      </w:r>
      <w:r>
        <w:rPr>
          <w:color w:val="58585B"/>
          <w:spacing w:val="-2"/>
          <w:w w:val="120"/>
        </w:rPr>
        <w:t>September </w:t>
      </w:r>
      <w:r>
        <w:rPr>
          <w:color w:val="58585B"/>
          <w:spacing w:val="-4"/>
          <w:w w:val="120"/>
        </w:rPr>
        <w:t>2017</w:t>
      </w:r>
    </w:p>
    <w:p>
      <w:pPr>
        <w:pStyle w:val="Heading4"/>
        <w:spacing w:before="219"/>
      </w:pPr>
      <w:r>
        <w:rPr>
          <w:b w:val="0"/>
        </w:rPr>
        <w:br w:type="column"/>
      </w:r>
      <w:r>
        <w:rPr>
          <w:color w:val="58585B"/>
        </w:rPr>
        <w:t>Foreclosure</w:t>
      </w:r>
      <w:r>
        <w:rPr>
          <w:color w:val="58585B"/>
          <w:spacing w:val="-14"/>
        </w:rPr>
        <w:t> </w:t>
      </w:r>
      <w:r>
        <w:rPr>
          <w:color w:val="58585B"/>
        </w:rPr>
        <w:t>Legal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Assistant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Morris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&amp;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Grant,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LLP,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Chicago,</w:t>
      </w:r>
      <w:r>
        <w:rPr>
          <w:i/>
          <w:color w:val="58585B"/>
          <w:spacing w:val="9"/>
          <w:w w:val="120"/>
          <w:sz w:val="22"/>
        </w:rPr>
        <w:t> </w:t>
      </w:r>
      <w:r>
        <w:rPr>
          <w:i/>
          <w:color w:val="58585B"/>
          <w:spacing w:val="-5"/>
          <w:w w:val="120"/>
          <w:sz w:val="22"/>
        </w:rPr>
        <w:t>IL</w:t>
      </w:r>
    </w:p>
    <w:p>
      <w:pPr>
        <w:pStyle w:val="BodyText"/>
        <w:spacing w:line="268" w:lineRule="auto" w:before="211"/>
        <w:ind w:left="423" w:right="138"/>
      </w:pPr>
      <w:r>
        <w:rPr>
          <w:color w:val="58585B"/>
          <w:w w:val="125"/>
        </w:rPr>
        <w:t>Prepared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200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complaint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packages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for foreclosure actions with 99% acceptance on first filing</w:t>
      </w:r>
    </w:p>
    <w:p>
      <w:pPr>
        <w:pStyle w:val="BodyText"/>
        <w:spacing w:line="268" w:lineRule="auto" w:before="88"/>
        <w:ind w:left="423"/>
      </w:pPr>
      <w:r>
        <w:rPr>
          <w:color w:val="58585B"/>
          <w:w w:val="125"/>
        </w:rPr>
        <w:t>Reduced scheduling conflicts by 60% by reorganizing case calendar system</w:t>
      </w:r>
    </w:p>
    <w:p>
      <w:pPr>
        <w:pStyle w:val="BodyText"/>
        <w:spacing w:line="268" w:lineRule="auto" w:before="88"/>
        <w:ind w:left="423"/>
      </w:pPr>
      <w:r>
        <w:rPr>
          <w:color w:val="58585B"/>
          <w:w w:val="125"/>
        </w:rPr>
        <w:t>Monitored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timelines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multiple jurisdictions and courts</w:t>
      </w:r>
    </w:p>
    <w:p>
      <w:pPr>
        <w:pStyle w:val="BodyText"/>
        <w:spacing w:before="18"/>
      </w:pPr>
    </w:p>
    <w:p>
      <w:pPr>
        <w:pStyle w:val="Heading4"/>
      </w:pPr>
      <w:r>
        <w:rPr>
          <w:color w:val="58585B"/>
          <w:spacing w:val="-2"/>
        </w:rPr>
        <w:t>Legal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Assistant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–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Loan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Servicing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Support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Bank</w:t>
      </w:r>
      <w:r>
        <w:rPr>
          <w:i/>
          <w:color w:val="58585B"/>
          <w:spacing w:val="1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Law</w:t>
      </w:r>
      <w:r>
        <w:rPr>
          <w:i/>
          <w:color w:val="58585B"/>
          <w:spacing w:val="1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Center,</w:t>
      </w:r>
      <w:r>
        <w:rPr>
          <w:i/>
          <w:color w:val="58585B"/>
          <w:spacing w:val="1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Chicago,</w:t>
      </w:r>
      <w:r>
        <w:rPr>
          <w:i/>
          <w:color w:val="58585B"/>
          <w:spacing w:val="11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IL</w:t>
      </w:r>
    </w:p>
    <w:p>
      <w:pPr>
        <w:pStyle w:val="BodyText"/>
        <w:spacing w:line="268" w:lineRule="auto" w:before="212"/>
        <w:ind w:left="423" w:right="138"/>
      </w:pPr>
      <w:r>
        <w:rPr>
          <w:color w:val="58585B"/>
          <w:w w:val="120"/>
        </w:rPr>
        <w:t>Managed a caseload of 75 active files, tracking responses from borrowers and </w:t>
      </w:r>
      <w:r>
        <w:rPr>
          <w:color w:val="58585B"/>
          <w:spacing w:val="-2"/>
          <w:w w:val="120"/>
        </w:rPr>
        <w:t>courts</w:t>
      </w:r>
    </w:p>
    <w:p>
      <w:pPr>
        <w:pStyle w:val="BodyText"/>
        <w:spacing w:line="268" w:lineRule="auto" w:before="87"/>
        <w:ind w:left="423"/>
      </w:pPr>
      <w:r>
        <w:rPr>
          <w:color w:val="58585B"/>
          <w:w w:val="125"/>
        </w:rPr>
        <w:t>Drafted default notices and supported attorneys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bankruptcy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crossover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matters</w:t>
      </w:r>
    </w:p>
    <w:sectPr>
      <w:type w:val="continuous"/>
      <w:pgSz w:w="11920" w:h="16860"/>
      <w:pgMar w:top="740" w:bottom="280" w:left="283" w:right="283"/>
      <w:cols w:num="3" w:equalWidth="0">
        <w:col w:w="3221" w:space="815"/>
        <w:col w:w="1656" w:space="273"/>
        <w:col w:w="5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2025-12-30T13:23:10Z</dcterms:created>
  <dcterms:modified xsi:type="dcterms:W3CDTF">2025-12-30T13:23:10Z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