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56"/>
        <w:rPr>
          <w:rFonts w:ascii="Times New Roman"/>
          <w:sz w:val="26"/>
        </w:rPr>
      </w:pPr>
    </w:p>
    <w:p>
      <w:pPr>
        <w:spacing w:before="1"/>
        <w:ind w:left="200" w:right="0" w:firstLine="0"/>
        <w:jc w:val="center"/>
        <w:rPr>
          <w:rFonts w:ascii="Calibri"/>
          <w:b/>
          <w:sz w:val="26"/>
        </w:rPr>
      </w:pPr>
      <w:r>
        <w:rPr>
          <w:rFonts w:ascii="Calibri"/>
          <w:b/>
          <w:color w:val="094D73"/>
          <w:w w:val="125"/>
          <w:sz w:val="26"/>
        </w:rPr>
        <w:t>Professional</w:t>
      </w:r>
      <w:r>
        <w:rPr>
          <w:rFonts w:ascii="Calibri"/>
          <w:b/>
          <w:color w:val="094D73"/>
          <w:spacing w:val="10"/>
          <w:w w:val="125"/>
          <w:sz w:val="26"/>
        </w:rPr>
        <w:t> </w:t>
      </w:r>
      <w:r>
        <w:rPr>
          <w:rFonts w:ascii="Calibri"/>
          <w:b/>
          <w:color w:val="094D73"/>
          <w:spacing w:val="-2"/>
          <w:w w:val="125"/>
          <w:sz w:val="26"/>
        </w:rPr>
        <w:t>Experience</w:t>
      </w:r>
    </w:p>
    <w:p>
      <w:pPr>
        <w:pStyle w:val="BodyText"/>
        <w:spacing w:before="1"/>
        <w:rPr>
          <w:rFonts w:ascii="Calibri"/>
          <w:b/>
          <w:sz w:val="13"/>
        </w:rPr>
      </w:pPr>
    </w:p>
    <w:p>
      <w:pPr>
        <w:pStyle w:val="BodyText"/>
        <w:spacing w:after="0"/>
        <w:rPr>
          <w:rFonts w:ascii="Calibri"/>
          <w:b/>
          <w:sz w:val="13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Heading1"/>
        <w:spacing w:line="259" w:lineRule="auto"/>
      </w:pPr>
      <w:r>
        <w:rPr>
          <w:color w:val="094D73"/>
          <w:spacing w:val="-2"/>
          <w:w w:val="125"/>
        </w:rPr>
        <w:t>Avery Harris</w:t>
      </w:r>
    </w:p>
    <w:p>
      <w:pPr>
        <w:pStyle w:val="Heading2"/>
        <w:spacing w:line="261" w:lineRule="auto" w:before="79"/>
        <w:ind w:right="1146"/>
      </w:pPr>
      <w:r>
        <w:rPr>
          <w:color w:val="58585B"/>
          <w:spacing w:val="-2"/>
          <w:w w:val="125"/>
        </w:rPr>
        <w:t>Transportation Architect</w:t>
      </w:r>
    </w:p>
    <w:p>
      <w:pPr>
        <w:pStyle w:val="BodyText"/>
        <w:spacing w:line="280" w:lineRule="auto" w:before="174"/>
        <w:ind w:left="51" w:right="1146"/>
      </w:pPr>
      <w:r>
        <w:rPr>
          <w:color w:val="58585B"/>
          <w:w w:val="110"/>
        </w:rPr>
        <w:t>New</w:t>
      </w:r>
      <w:r>
        <w:rPr>
          <w:color w:val="58585B"/>
          <w:spacing w:val="-6"/>
          <w:w w:val="110"/>
        </w:rPr>
        <w:t> </w:t>
      </w:r>
      <w:r>
        <w:rPr>
          <w:color w:val="58585B"/>
          <w:w w:val="110"/>
        </w:rPr>
        <w:t>York, NY </w:t>
      </w:r>
      <w:hyperlink r:id="rId5">
        <w:r>
          <w:rPr>
            <w:color w:val="58585B"/>
            <w:spacing w:val="-2"/>
          </w:rPr>
          <w:t>email@example.com</w:t>
        </w:r>
      </w:hyperlink>
      <w:r>
        <w:rPr>
          <w:color w:val="58585B"/>
          <w:spacing w:val="-2"/>
        </w:rPr>
        <w:t> </w:t>
      </w:r>
      <w:r>
        <w:rPr>
          <w:color w:val="58585B"/>
          <w:spacing w:val="-2"/>
          <w:w w:val="110"/>
        </w:rPr>
        <w:t>000-000-0000</w:t>
      </w:r>
    </w:p>
    <w:p>
      <w:pPr>
        <w:pStyle w:val="BodyText"/>
        <w:spacing w:before="18"/>
      </w:pPr>
    </w:p>
    <w:p>
      <w:pPr>
        <w:pStyle w:val="Heading3"/>
        <w:spacing w:line="280" w:lineRule="auto"/>
      </w:pPr>
      <w:r>
        <w:rPr>
          <w:color w:val="58585B"/>
          <w:w w:val="105"/>
        </w:rPr>
        <w:t>Transit and Infrastructure </w:t>
      </w:r>
      <w:r>
        <w:rPr>
          <w:color w:val="58585B"/>
        </w:rPr>
        <w:t>Architect with complex project </w:t>
      </w:r>
      <w:r>
        <w:rPr>
          <w:color w:val="58585B"/>
          <w:w w:val="105"/>
        </w:rPr>
        <w:t>coordination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skills</w:t>
      </w:r>
    </w:p>
    <w:p>
      <w:pPr>
        <w:pStyle w:val="BodyText"/>
        <w:spacing w:line="280" w:lineRule="auto" w:before="108"/>
        <w:ind w:left="51" w:right="45"/>
      </w:pPr>
      <w:r>
        <w:rPr>
          <w:color w:val="58585B"/>
        </w:rPr>
        <w:t>Transportation</w:t>
      </w:r>
      <w:r>
        <w:rPr>
          <w:color w:val="58585B"/>
          <w:spacing w:val="-17"/>
        </w:rPr>
        <w:t> </w:t>
      </w:r>
      <w:r>
        <w:rPr>
          <w:color w:val="58585B"/>
        </w:rPr>
        <w:t>Architect</w:t>
      </w:r>
      <w:r>
        <w:rPr>
          <w:color w:val="58585B"/>
          <w:spacing w:val="-17"/>
        </w:rPr>
        <w:t> </w:t>
      </w:r>
      <w:r>
        <w:rPr>
          <w:color w:val="58585B"/>
        </w:rPr>
        <w:t>with</w:t>
      </w:r>
      <w:r>
        <w:rPr>
          <w:color w:val="58585B"/>
          <w:spacing w:val="-17"/>
        </w:rPr>
        <w:t> </w:t>
      </w:r>
      <w:r>
        <w:rPr>
          <w:color w:val="58585B"/>
        </w:rPr>
        <w:t>12 years of experience designing airports, rail stations, and intermodal transit hubs. Strong in large-scale public infrastructure design and wayfinding strategy. Known for navigating complex agency requirements and keeping projects on schedule.</w:t>
      </w:r>
    </w:p>
    <w:p>
      <w:pPr>
        <w:pStyle w:val="BodyText"/>
        <w:spacing w:before="255"/>
      </w:pPr>
    </w:p>
    <w:p>
      <w:pPr>
        <w:pStyle w:val="Heading2"/>
      </w:pPr>
      <w:r>
        <w:rPr>
          <w:color w:val="094D73"/>
          <w:w w:val="130"/>
        </w:rPr>
        <w:t>Key</w:t>
      </w:r>
      <w:r>
        <w:rPr>
          <w:color w:val="094D73"/>
          <w:spacing w:val="-17"/>
          <w:w w:val="130"/>
        </w:rPr>
        <w:t> </w:t>
      </w:r>
      <w:r>
        <w:rPr>
          <w:color w:val="094D73"/>
          <w:spacing w:val="-2"/>
          <w:w w:val="130"/>
        </w:rPr>
        <w:t>Skills</w:t>
      </w:r>
    </w:p>
    <w:p>
      <w:pPr>
        <w:spacing w:before="109"/>
        <w:ind w:left="51" w:right="0" w:firstLine="0"/>
        <w:jc w:val="left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color w:val="58585B"/>
          <w:w w:val="130"/>
          <w:sz w:val="18"/>
        </w:rPr>
        <w:t>Sustainability</w:t>
      </w:r>
      <w:r>
        <w:rPr>
          <w:rFonts w:ascii="Calibri"/>
          <w:b/>
          <w:color w:val="58585B"/>
          <w:spacing w:val="-6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Architect</w:t>
      </w:r>
    </w:p>
    <w:p>
      <w:pPr>
        <w:spacing w:before="30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Greenform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Group,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San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Francisco,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CA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10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June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2016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before="14"/>
        <w:rPr>
          <w:i/>
        </w:rPr>
      </w:pP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0" w:after="0"/>
        <w:ind w:left="423" w:right="567" w:hanging="360"/>
        <w:jc w:val="left"/>
        <w:rPr>
          <w:sz w:val="22"/>
        </w:rPr>
      </w:pPr>
      <w:r>
        <w:rPr>
          <w:color w:val="58585B"/>
          <w:sz w:val="22"/>
        </w:rPr>
        <w:t>Contributed to over 25 LEED-certified projects, including five LEED</w:t>
      </w:r>
      <w:r>
        <w:rPr>
          <w:color w:val="58585B"/>
          <w:spacing w:val="32"/>
          <w:sz w:val="22"/>
        </w:rPr>
        <w:t> </w:t>
      </w:r>
      <w:r>
        <w:rPr>
          <w:color w:val="58585B"/>
          <w:sz w:val="22"/>
        </w:rPr>
        <w:t>Platinum</w:t>
      </w:r>
      <w:r>
        <w:rPr>
          <w:color w:val="58585B"/>
          <w:spacing w:val="32"/>
          <w:sz w:val="22"/>
        </w:rPr>
        <w:t> </w:t>
      </w:r>
      <w:r>
        <w:rPr>
          <w:color w:val="58585B"/>
          <w:sz w:val="22"/>
        </w:rPr>
        <w:t>commercial buildings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103" w:after="0"/>
        <w:ind w:left="423" w:right="419" w:hanging="360"/>
        <w:jc w:val="left"/>
        <w:rPr>
          <w:sz w:val="22"/>
        </w:rPr>
      </w:pPr>
      <w:r>
        <w:rPr>
          <w:color w:val="58585B"/>
          <w:sz w:val="22"/>
        </w:rPr>
        <w:t>Integrated passive design strategies to reduce HVAC loads by</w:t>
      </w:r>
      <w:r>
        <w:rPr>
          <w:color w:val="58585B"/>
          <w:spacing w:val="80"/>
          <w:w w:val="110"/>
          <w:sz w:val="22"/>
        </w:rPr>
        <w:t> </w:t>
      </w:r>
      <w:r>
        <w:rPr>
          <w:color w:val="58585B"/>
          <w:spacing w:val="-4"/>
          <w:w w:val="110"/>
          <w:sz w:val="22"/>
        </w:rPr>
        <w:t>30%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92" w:after="0"/>
        <w:ind w:left="423" w:right="894" w:hanging="360"/>
        <w:jc w:val="left"/>
        <w:rPr>
          <w:sz w:val="22"/>
        </w:rPr>
      </w:pPr>
      <w:r>
        <w:rPr>
          <w:color w:val="58585B"/>
          <w:w w:val="105"/>
          <w:sz w:val="22"/>
        </w:rPr>
        <w:t>Coordinated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with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engineers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consultants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on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life-cycle assessments and energy modeling</w:t>
      </w:r>
    </w:p>
    <w:p>
      <w:pPr>
        <w:pStyle w:val="BodyText"/>
        <w:spacing w:before="127"/>
      </w:pPr>
    </w:p>
    <w:p>
      <w:pPr>
        <w:spacing w:before="0"/>
        <w:ind w:left="51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Architectural</w:t>
      </w:r>
      <w:r>
        <w:rPr>
          <w:rFonts w:ascii="Calibri"/>
          <w:b/>
          <w:color w:val="58585B"/>
          <w:spacing w:val="-8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Designer</w:t>
      </w:r>
    </w:p>
    <w:p>
      <w:pPr>
        <w:spacing w:before="30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EnviroBuild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Collective,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San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Jose,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CA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3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September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2013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May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2016</w:t>
      </w:r>
    </w:p>
    <w:p>
      <w:pPr>
        <w:pStyle w:val="BodyText"/>
        <w:spacing w:before="14"/>
        <w:rPr>
          <w:i/>
        </w:rPr>
      </w:pP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0" w:after="0"/>
        <w:ind w:left="423" w:right="923" w:hanging="360"/>
        <w:jc w:val="left"/>
        <w:rPr>
          <w:sz w:val="22"/>
        </w:rPr>
      </w:pPr>
      <w:r>
        <w:rPr>
          <w:color w:val="58585B"/>
          <w:spacing w:val="-2"/>
          <w:w w:val="105"/>
          <w:sz w:val="22"/>
        </w:rPr>
        <w:t>Created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energy-efficient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layouts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and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envelope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details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for </w:t>
      </w:r>
      <w:r>
        <w:rPr>
          <w:color w:val="58585B"/>
          <w:w w:val="105"/>
          <w:sz w:val="22"/>
        </w:rPr>
        <w:t>residential and mixed-use projects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92" w:after="0"/>
        <w:ind w:left="423" w:right="675" w:hanging="360"/>
        <w:jc w:val="left"/>
        <w:rPr>
          <w:sz w:val="22"/>
        </w:rPr>
      </w:pPr>
      <w:r>
        <w:rPr>
          <w:color w:val="58585B"/>
          <w:w w:val="105"/>
          <w:sz w:val="22"/>
        </w:rPr>
        <w:t>Assisted</w:t>
      </w:r>
      <w:r>
        <w:rPr>
          <w:color w:val="58585B"/>
          <w:spacing w:val="-1"/>
          <w:w w:val="105"/>
          <w:sz w:val="22"/>
        </w:rPr>
        <w:t> </w:t>
      </w:r>
      <w:r>
        <w:rPr>
          <w:color w:val="58585B"/>
          <w:w w:val="105"/>
          <w:sz w:val="22"/>
        </w:rPr>
        <w:t>in</w:t>
      </w:r>
      <w:r>
        <w:rPr>
          <w:color w:val="58585B"/>
          <w:spacing w:val="-1"/>
          <w:w w:val="105"/>
          <w:sz w:val="22"/>
        </w:rPr>
        <w:t> </w:t>
      </w:r>
      <w:r>
        <w:rPr>
          <w:color w:val="58585B"/>
          <w:w w:val="105"/>
          <w:sz w:val="22"/>
        </w:rPr>
        <w:t>producing</w:t>
      </w:r>
      <w:r>
        <w:rPr>
          <w:color w:val="58585B"/>
          <w:spacing w:val="-1"/>
          <w:w w:val="105"/>
          <w:sz w:val="22"/>
        </w:rPr>
        <w:t> </w:t>
      </w:r>
      <w:r>
        <w:rPr>
          <w:color w:val="58585B"/>
          <w:w w:val="105"/>
          <w:sz w:val="22"/>
        </w:rPr>
        <w:t>LEED</w:t>
      </w:r>
      <w:r>
        <w:rPr>
          <w:color w:val="58585B"/>
          <w:spacing w:val="-1"/>
          <w:w w:val="105"/>
          <w:sz w:val="22"/>
        </w:rPr>
        <w:t> </w:t>
      </w:r>
      <w:r>
        <w:rPr>
          <w:color w:val="58585B"/>
          <w:w w:val="105"/>
          <w:sz w:val="22"/>
        </w:rPr>
        <w:t>documentation</w:t>
      </w:r>
      <w:r>
        <w:rPr>
          <w:color w:val="58585B"/>
          <w:spacing w:val="-1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1"/>
          <w:w w:val="105"/>
          <w:sz w:val="22"/>
        </w:rPr>
        <w:t> </w:t>
      </w:r>
      <w:r>
        <w:rPr>
          <w:color w:val="58585B"/>
          <w:w w:val="105"/>
          <w:sz w:val="22"/>
        </w:rPr>
        <w:t>site</w:t>
      </w:r>
      <w:r>
        <w:rPr>
          <w:color w:val="58585B"/>
          <w:spacing w:val="-1"/>
          <w:w w:val="105"/>
          <w:sz w:val="22"/>
        </w:rPr>
        <w:t> </w:t>
      </w:r>
      <w:r>
        <w:rPr>
          <w:color w:val="58585B"/>
          <w:w w:val="105"/>
          <w:sz w:val="22"/>
        </w:rPr>
        <w:t>impact </w:t>
      </w:r>
      <w:r>
        <w:rPr>
          <w:color w:val="58585B"/>
          <w:spacing w:val="-2"/>
          <w:w w:val="105"/>
          <w:sz w:val="22"/>
        </w:rPr>
        <w:t>analysis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18" w:after="0"/>
        <w:ind w:left="423" w:right="62" w:hanging="360"/>
        <w:jc w:val="left"/>
        <w:rPr>
          <w:sz w:val="22"/>
        </w:rPr>
      </w:pPr>
      <w:r>
        <w:rPr>
          <w:color w:val="58585B"/>
          <w:w w:val="105"/>
          <w:sz w:val="22"/>
        </w:rPr>
        <w:t>Specified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w w:val="105"/>
          <w:sz w:val="22"/>
        </w:rPr>
        <w:t>materials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w w:val="105"/>
          <w:sz w:val="22"/>
        </w:rPr>
        <w:t>based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w w:val="105"/>
          <w:sz w:val="22"/>
        </w:rPr>
        <w:t>on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w w:val="105"/>
          <w:sz w:val="22"/>
        </w:rPr>
        <w:t>environmental</w:t>
      </w:r>
      <w:r>
        <w:rPr>
          <w:color w:val="58585B"/>
          <w:spacing w:val="-21"/>
          <w:w w:val="105"/>
          <w:sz w:val="22"/>
        </w:rPr>
        <w:t> </w:t>
      </w:r>
      <w:r>
        <w:rPr>
          <w:color w:val="58585B"/>
          <w:w w:val="105"/>
          <w:sz w:val="22"/>
        </w:rPr>
        <w:t>product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declarations </w:t>
      </w:r>
      <w:r>
        <w:rPr>
          <w:color w:val="58585B"/>
          <w:spacing w:val="-2"/>
          <w:w w:val="105"/>
          <w:sz w:val="22"/>
        </w:rPr>
        <w:t>(EPDs)</w:t>
      </w:r>
    </w:p>
    <w:p>
      <w:pPr>
        <w:pStyle w:val="BodyText"/>
      </w:pPr>
    </w:p>
    <w:p>
      <w:pPr>
        <w:pStyle w:val="BodyText"/>
        <w:spacing w:before="16"/>
      </w:pPr>
    </w:p>
    <w:p>
      <w:pPr>
        <w:pStyle w:val="Heading2"/>
      </w:pPr>
      <w:r>
        <w:rPr>
          <w:color w:val="094D73"/>
          <w:spacing w:val="-2"/>
          <w:w w:val="130"/>
        </w:rPr>
        <w:t>Education</w:t>
      </w:r>
    </w:p>
    <w:p>
      <w:pPr>
        <w:spacing w:before="269"/>
        <w:ind w:left="51" w:right="0" w:firstLine="0"/>
        <w:jc w:val="left"/>
        <w:rPr>
          <w:rFonts w:ascii="Calibri"/>
          <w:sz w:val="18"/>
        </w:rPr>
      </w:pPr>
      <w:r>
        <w:rPr>
          <w:rFonts w:ascii="Calibri"/>
          <w:color w:val="58585B"/>
          <w:w w:val="125"/>
          <w:sz w:val="18"/>
        </w:rPr>
        <w:t>Bachelor of</w:t>
      </w:r>
      <w:r>
        <w:rPr>
          <w:rFonts w:ascii="Calibri"/>
          <w:color w:val="58585B"/>
          <w:spacing w:val="2"/>
          <w:w w:val="125"/>
          <w:sz w:val="18"/>
        </w:rPr>
        <w:t> </w:t>
      </w:r>
      <w:r>
        <w:rPr>
          <w:rFonts w:ascii="Calibri"/>
          <w:color w:val="58585B"/>
          <w:w w:val="125"/>
          <w:sz w:val="18"/>
        </w:rPr>
        <w:t>Architecture</w:t>
      </w:r>
      <w:r>
        <w:rPr>
          <w:rFonts w:ascii="Calibri"/>
          <w:color w:val="58585B"/>
          <w:spacing w:val="2"/>
          <w:w w:val="125"/>
          <w:sz w:val="18"/>
        </w:rPr>
        <w:t> </w:t>
      </w:r>
      <w:r>
        <w:rPr>
          <w:rFonts w:ascii="Calibri"/>
          <w:color w:val="58585B"/>
          <w:spacing w:val="-2"/>
          <w:w w:val="125"/>
          <w:sz w:val="18"/>
        </w:rPr>
        <w:t>(B.Arch)</w:t>
      </w:r>
    </w:p>
    <w:p>
      <w:pPr>
        <w:spacing w:before="45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w w:val="95"/>
          <w:sz w:val="22"/>
        </w:rPr>
        <w:t>University</w:t>
      </w:r>
      <w:r>
        <w:rPr>
          <w:i/>
          <w:color w:val="58585B"/>
          <w:spacing w:val="-5"/>
          <w:w w:val="95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of</w:t>
      </w:r>
      <w:r>
        <w:rPr>
          <w:i/>
          <w:color w:val="58585B"/>
          <w:spacing w:val="-5"/>
          <w:w w:val="95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California,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Berkeley</w:t>
      </w:r>
      <w:r>
        <w:rPr>
          <w:i/>
          <w:color w:val="58585B"/>
          <w:spacing w:val="-5"/>
          <w:w w:val="95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4"/>
          <w:w w:val="95"/>
          <w:sz w:val="22"/>
        </w:rPr>
        <w:t>2013</w:t>
      </w:r>
    </w:p>
    <w:p>
      <w:pPr>
        <w:spacing w:after="0"/>
        <w:jc w:val="left"/>
        <w:rPr>
          <w:i/>
          <w:sz w:val="22"/>
        </w:rPr>
        <w:sectPr>
          <w:type w:val="continuous"/>
          <w:pgSz w:w="11920" w:h="16860"/>
          <w:pgMar w:top="0" w:bottom="0" w:left="283" w:right="425"/>
          <w:cols w:num="2" w:equalWidth="0">
            <w:col w:w="3345" w:space="672"/>
            <w:col w:w="7195"/>
          </w:cols>
        </w:sectPr>
      </w:pPr>
    </w:p>
    <w:p>
      <w:pPr>
        <w:pStyle w:val="BodyText"/>
        <w:spacing w:before="8"/>
        <w:rPr>
          <w:i/>
        </w:rPr>
      </w:pPr>
      <w:r>
        <w:rPr>
          <w:i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8601075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28587" y="6496049"/>
                            <a:ext cx="47625" cy="197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71675">
                                <a:moveTo>
                                  <a:pt x="47625" y="1944522"/>
                                </a:moveTo>
                                <a:lnTo>
                                  <a:pt x="27165" y="1924050"/>
                                </a:lnTo>
                                <a:lnTo>
                                  <a:pt x="20472" y="1924050"/>
                                </a:lnTo>
                                <a:lnTo>
                                  <a:pt x="0" y="1944522"/>
                                </a:lnTo>
                                <a:lnTo>
                                  <a:pt x="0" y="1948091"/>
                                </a:lnTo>
                                <a:lnTo>
                                  <a:pt x="0" y="1951215"/>
                                </a:lnTo>
                                <a:lnTo>
                                  <a:pt x="20472" y="1971675"/>
                                </a:lnTo>
                                <a:lnTo>
                                  <a:pt x="27165" y="1971675"/>
                                </a:lnTo>
                                <a:lnTo>
                                  <a:pt x="47625" y="1951215"/>
                                </a:lnTo>
                                <a:lnTo>
                                  <a:pt x="47625" y="1944522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763422"/>
                                </a:moveTo>
                                <a:lnTo>
                                  <a:pt x="27165" y="742950"/>
                                </a:lnTo>
                                <a:lnTo>
                                  <a:pt x="20472" y="742950"/>
                                </a:lnTo>
                                <a:lnTo>
                                  <a:pt x="0" y="763422"/>
                                </a:lnTo>
                                <a:lnTo>
                                  <a:pt x="0" y="766991"/>
                                </a:lnTo>
                                <a:lnTo>
                                  <a:pt x="0" y="770115"/>
                                </a:lnTo>
                                <a:lnTo>
                                  <a:pt x="20472" y="790575"/>
                                </a:lnTo>
                                <a:lnTo>
                                  <a:pt x="27165" y="790575"/>
                                </a:lnTo>
                                <a:lnTo>
                                  <a:pt x="47625" y="770115"/>
                                </a:lnTo>
                                <a:lnTo>
                                  <a:pt x="47625" y="763422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515772"/>
                                </a:moveTo>
                                <a:lnTo>
                                  <a:pt x="27165" y="495300"/>
                                </a:lnTo>
                                <a:lnTo>
                                  <a:pt x="20472" y="495300"/>
                                </a:lnTo>
                                <a:lnTo>
                                  <a:pt x="0" y="515772"/>
                                </a:lnTo>
                                <a:lnTo>
                                  <a:pt x="0" y="519341"/>
                                </a:lnTo>
                                <a:lnTo>
                                  <a:pt x="0" y="522465"/>
                                </a:lnTo>
                                <a:lnTo>
                                  <a:pt x="20472" y="542925"/>
                                </a:lnTo>
                                <a:lnTo>
                                  <a:pt x="27165" y="542925"/>
                                </a:lnTo>
                                <a:lnTo>
                                  <a:pt x="47625" y="522465"/>
                                </a:lnTo>
                                <a:lnTo>
                                  <a:pt x="47625" y="515772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2672" id="docshapegroup1" coordorigin="0,0" coordsize="4065,16860">
                <v:shape style="position:absolute;left:0;top:0;width:4065;height:16860" id="docshape2" coordorigin="0,0" coordsize="4065,16860" path="m4065,0l0,0,0,510,0,4110,0,12750,0,13545,0,16860,4065,16860,4065,12750,4065,4110,4065,0xe" filled="true" fillcolor="#f1f4f4" stroked="false">
                  <v:path arrowok="t"/>
                  <v:fill type="solid"/>
                </v:shape>
                <v:shape style="position:absolute;left:359;top:10230;width:75;height:3105" id="docshape3" coordorigin="360,10230" coordsize="75,3105" path="m435,13292l434,13287,430,13278,428,13274,421,13267,417,13265,408,13261,403,13260,392,13260,387,13261,378,13265,374,13267,367,13274,365,13278,361,13287,360,13292,360,13298,360,13303,361,13308,365,13317,367,13321,374,13328,378,13330,387,13334,392,13335,403,13335,408,13334,417,13330,421,13328,428,13321,430,13317,434,13308,435,13303,435,13292xm435,12602l434,12597,430,12588,428,12584,421,12577,417,12575,408,12571,403,12570,392,12570,387,12571,378,12575,374,12577,367,12584,365,12588,361,12597,360,12602,360,12608,360,12613,361,12618,365,12627,367,12631,374,12638,378,12640,387,12644,392,12645,403,12645,408,12644,417,12640,421,12638,428,12631,430,12627,434,12618,435,12613,435,12602xm435,12212l434,12207,430,12198,428,12194,421,12187,417,12185,408,12181,403,12180,392,12180,387,12181,378,12185,374,12187,367,12194,365,12198,361,12207,360,12212,360,12218,360,12223,361,12228,365,12237,367,12241,374,12248,378,12250,387,12254,392,12255,403,12255,408,12254,417,12250,421,12248,428,12241,430,12237,434,12228,435,12223,435,12212xm435,11822l434,11817,430,11808,428,11804,421,11797,417,11795,408,11791,403,11790,392,11790,387,11791,378,11795,374,11797,367,11804,365,11808,361,11817,360,11822,360,11828,360,11833,361,11838,365,11847,367,11851,374,11858,378,11860,387,11864,392,11865,403,11865,408,11864,417,11860,421,11858,428,11851,430,11847,434,11838,435,11833,435,11822xm435,11432l434,11427,430,11418,428,11414,421,11407,417,11405,408,11401,403,11400,392,11400,387,11401,378,11405,374,11407,367,11414,365,11418,361,11427,360,11432,360,11438,360,11443,361,11448,365,11457,367,11461,374,11468,378,11470,387,11474,392,11475,403,11475,408,11474,417,11470,421,11468,428,11461,430,11457,434,11448,435,11443,435,11432xm435,11042l434,11037,430,11028,428,11024,421,11017,417,11015,408,11011,403,11010,392,11010,387,11011,378,11015,374,11017,367,11024,365,11028,361,11037,360,11042,360,11048,360,11053,361,11058,365,11067,367,11071,374,11078,378,11080,387,11084,392,11085,403,11085,408,11084,417,11080,421,11078,428,11071,430,11067,434,11058,435,11053,435,11042xm435,10652l434,10647,430,10638,428,10634,421,10627,417,10625,408,10621,403,10620,392,10620,387,10621,378,10625,374,10627,367,10634,365,10638,361,10647,360,10652,360,10658,360,10663,361,10668,365,10677,367,10681,374,10688,378,10690,387,10694,392,10695,403,10695,408,10694,417,10690,421,10688,428,10681,430,10677,434,10668,435,10663,435,10652xm435,10262l434,10257,430,10248,428,10244,421,10237,417,10235,408,10231,403,10230,392,10230,387,10231,378,10235,374,10237,367,10244,365,10248,361,10257,360,10262,360,10268,360,10273,361,10278,365,10287,367,10291,374,10298,378,10300,387,10304,392,10305,403,10305,408,10304,417,10300,421,10298,428,10291,430,10287,434,10278,435,10273,435,10262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67" w:lineRule="auto"/>
        <w:ind w:left="423" w:right="8012"/>
      </w:pPr>
      <w:r>
        <w:rPr>
          <w:color w:val="58585B"/>
        </w:rPr>
        <w:t>Airport terminal design Code compliance Infrastructure phasing Public agency coordination </w:t>
      </w:r>
      <w:r>
        <w:rPr>
          <w:color w:val="58585B"/>
          <w:spacing w:val="-2"/>
        </w:rPr>
        <w:t>Revit</w:t>
      </w:r>
    </w:p>
    <w:p>
      <w:pPr>
        <w:pStyle w:val="BodyText"/>
        <w:spacing w:line="251" w:lineRule="exact"/>
        <w:ind w:left="423"/>
      </w:pPr>
      <w:r>
        <w:rPr>
          <w:color w:val="58585B"/>
        </w:rPr>
        <w:t>Structural</w:t>
      </w:r>
      <w:r>
        <w:rPr>
          <w:color w:val="58585B"/>
          <w:spacing w:val="-2"/>
        </w:rPr>
        <w:t> coordination</w:t>
      </w:r>
    </w:p>
    <w:p>
      <w:pPr>
        <w:pStyle w:val="BodyText"/>
        <w:spacing w:line="280" w:lineRule="auto" w:before="135"/>
        <w:ind w:left="423" w:right="8012"/>
      </w:pPr>
      <w:r>
        <w:rPr>
          <w:color w:val="58585B"/>
          <w:spacing w:val="-2"/>
        </w:rPr>
        <w:t>Transit-oriented </w:t>
      </w:r>
      <w:r>
        <w:rPr>
          <w:color w:val="58585B"/>
          <w:spacing w:val="-2"/>
          <w:w w:val="105"/>
        </w:rPr>
        <w:t>development</w:t>
      </w:r>
    </w:p>
    <w:p>
      <w:pPr>
        <w:pStyle w:val="BodyText"/>
        <w:spacing w:before="92"/>
        <w:ind w:left="423"/>
      </w:pPr>
      <w:r>
        <w:rPr>
          <w:color w:val="58585B"/>
          <w:w w:val="105"/>
        </w:rPr>
        <w:t>Wayfinding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systems</w:t>
      </w:r>
    </w:p>
    <w:sectPr>
      <w:type w:val="continuous"/>
      <w:pgSz w:w="11920" w:h="16860"/>
      <w:pgMar w:top="0" w:bottom="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97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7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51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2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8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61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3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8"/>
      <w:ind w:left="51" w:right="1146"/>
      <w:outlineLvl w:val="1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23" w:right="62" w:hanging="360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2025-12-14T03:35:00Z</dcterms:created>
  <dcterms:modified xsi:type="dcterms:W3CDTF">2025-12-14T03:35:00Z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2025-12-14T00:00:00Z</vt:filetime>
  </property>
  <property fmtid="{D5CDD505-2E9C-101B-9397-08002B2CF9AE}" pid="5" name="Producer">
    <vt:lpwstr>Skia/PDF m121</vt:lpwstr>
  </property>
</Properties>
</file>