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2"/>
        <w:ind w:left="0" w:right="25"/>
        <w:jc w:val="center"/>
      </w:pPr>
      <w:r>
        <w:rPr>
          <w:color w:val="00BCA2"/>
        </w:rPr>
        <w:t>Professional</w:t>
      </w:r>
      <w:r>
        <w:rPr>
          <w:color w:val="00BCA2"/>
          <w:spacing w:val="-6"/>
        </w:rPr>
        <w:t> </w:t>
      </w:r>
      <w:r>
        <w:rPr>
          <w:color w:val="00BCA2"/>
          <w:spacing w:val="-2"/>
        </w:rPr>
        <w:t>Experience</w:t>
      </w:r>
    </w:p>
    <w:p>
      <w:pPr>
        <w:pStyle w:val="Heading2"/>
        <w:spacing w:after="0"/>
        <w:jc w:val="center"/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30"/>
        <w:rPr>
          <w:rFonts w:ascii="Arial"/>
          <w:b/>
        </w:rPr>
      </w:pPr>
    </w:p>
    <w:p>
      <w:pPr>
        <w:pStyle w:val="BodyText"/>
        <w:ind w:left="51"/>
      </w:pPr>
      <w:r>
        <w:rPr>
          <w:color w:val="58585B"/>
          <w:w w:val="120"/>
        </w:rPr>
        <w:t>City,</w:t>
      </w:r>
      <w:r>
        <w:rPr>
          <w:color w:val="58585B"/>
          <w:spacing w:val="-14"/>
          <w:w w:val="120"/>
        </w:rPr>
        <w:t> </w:t>
      </w:r>
      <w:r>
        <w:rPr>
          <w:color w:val="58585B"/>
          <w:spacing w:val="-5"/>
          <w:w w:val="120"/>
        </w:rPr>
        <w:t>ST</w:t>
      </w:r>
    </w:p>
    <w:p>
      <w:pPr>
        <w:pStyle w:val="Heading1"/>
        <w:spacing w:line="266" w:lineRule="auto"/>
      </w:pPr>
      <w:r>
        <w:rPr>
          <w:b w:val="0"/>
        </w:rPr>
        <w:br w:type="column"/>
      </w:r>
      <w:r>
        <w:rPr>
          <w:color w:val="00BCA2"/>
          <w:spacing w:val="-2"/>
        </w:rPr>
        <w:t>Skyler Lewis</w:t>
      </w:r>
    </w:p>
    <w:p>
      <w:pPr>
        <w:pStyle w:val="Heading2"/>
        <w:spacing w:line="264" w:lineRule="auto" w:before="99"/>
      </w:pPr>
      <w:r>
        <w:rPr>
          <w:color w:val="58585B"/>
          <w:spacing w:val="-2"/>
        </w:rPr>
        <w:t>Urban</w:t>
      </w:r>
      <w:r>
        <w:rPr>
          <w:color w:val="58585B"/>
          <w:spacing w:val="-17"/>
        </w:rPr>
        <w:t> </w:t>
      </w:r>
      <w:r>
        <w:rPr>
          <w:color w:val="58585B"/>
          <w:spacing w:val="-2"/>
        </w:rPr>
        <w:t>Planning Engineer</w:t>
      </w:r>
    </w:p>
    <w:p>
      <w:pPr>
        <w:pStyle w:val="BodyText"/>
        <w:spacing w:before="8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ind w:left="51"/>
      </w:pPr>
      <w:r>
        <w:rPr>
          <w:color w:val="58585B"/>
          <w:w w:val="125"/>
        </w:rPr>
        <w:t>January</w:t>
      </w:r>
      <w:r>
        <w:rPr>
          <w:color w:val="58585B"/>
          <w:spacing w:val="14"/>
          <w:w w:val="125"/>
        </w:rPr>
        <w:t> </w:t>
      </w:r>
      <w:r>
        <w:rPr>
          <w:color w:val="58585B"/>
          <w:spacing w:val="-4"/>
          <w:w w:val="125"/>
        </w:rPr>
        <w:t>2020</w:t>
      </w:r>
    </w:p>
    <w:p>
      <w:pPr>
        <w:pStyle w:val="BodyText"/>
        <w:spacing w:before="16"/>
        <w:ind w:left="51"/>
      </w:pPr>
      <w:r>
        <w:rPr>
          <w:color w:val="58585B"/>
          <w:w w:val="125"/>
        </w:rPr>
        <w:t>-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  <w:spacing w:before="6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"/>
        <w:ind w:left="5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Urban</w:t>
      </w:r>
      <w:r>
        <w:rPr>
          <w:rFonts w:ascii="Arial"/>
          <w:b/>
          <w:color w:val="58585B"/>
          <w:spacing w:val="1"/>
          <w:sz w:val="18"/>
        </w:rPr>
        <w:t> </w:t>
      </w:r>
      <w:r>
        <w:rPr>
          <w:rFonts w:ascii="Arial"/>
          <w:b/>
          <w:color w:val="58585B"/>
          <w:sz w:val="18"/>
        </w:rPr>
        <w:t>Planning</w:t>
      </w:r>
      <w:r>
        <w:rPr>
          <w:rFonts w:ascii="Arial"/>
          <w:b/>
          <w:color w:val="58585B"/>
          <w:spacing w:val="1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Engineer</w:t>
      </w:r>
    </w:p>
    <w:p>
      <w:pPr>
        <w:spacing w:line="268" w:lineRule="auto" w:before="22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City of Northville Planning Department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Northville, MI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1" w:lineRule="auto" w:before="88" w:after="0"/>
        <w:ind w:left="423" w:right="1" w:hanging="354"/>
        <w:jc w:val="left"/>
        <w:rPr>
          <w:sz w:val="22"/>
        </w:rPr>
      </w:pPr>
      <w:r>
        <w:rPr>
          <w:color w:val="58585B"/>
          <w:w w:val="125"/>
          <w:sz w:val="22"/>
        </w:rPr>
        <w:t>Supported long-term planning for utility</w:t>
      </w:r>
      <w:r>
        <w:rPr>
          <w:color w:val="58585B"/>
          <w:spacing w:val="80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transportation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infrastructure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line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with zoning and land use objectives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113" w:lineRule="exact" w:before="97" w:after="0"/>
        <w:ind w:left="423" w:right="0" w:hanging="353"/>
        <w:jc w:val="left"/>
        <w:rPr>
          <w:sz w:val="22"/>
        </w:rPr>
      </w:pPr>
      <w:r>
        <w:rPr>
          <w:color w:val="58585B"/>
          <w:w w:val="125"/>
          <w:sz w:val="22"/>
        </w:rPr>
        <w:t>Led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the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technical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review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of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spacing w:val="-4"/>
          <w:w w:val="125"/>
          <w:sz w:val="22"/>
        </w:rPr>
        <w:t>site</w:t>
      </w:r>
    </w:p>
    <w:p>
      <w:pPr>
        <w:pStyle w:val="ListParagraph"/>
        <w:spacing w:after="0" w:line="113" w:lineRule="exact"/>
        <w:jc w:val="left"/>
        <w:rPr>
          <w:sz w:val="22"/>
        </w:rPr>
        <w:sectPr>
          <w:type w:val="continuous"/>
          <w:pgSz w:w="11920" w:h="16860"/>
          <w:pgMar w:top="0" w:bottom="0" w:left="283" w:right="425"/>
          <w:cols w:num="4" w:equalWidth="0">
            <w:col w:w="843" w:space="459"/>
            <w:col w:w="1951" w:space="764"/>
            <w:col w:w="1548" w:space="247"/>
            <w:col w:w="5400"/>
          </w:cols>
        </w:sectPr>
      </w:pPr>
    </w:p>
    <w:p>
      <w:pPr>
        <w:pStyle w:val="BodyText"/>
        <w:spacing w:before="7"/>
        <w:ind w:left="51"/>
      </w:pPr>
      <w:hyperlink r:id="rId5">
        <w:r>
          <w:rPr>
            <w:color w:val="58585B"/>
            <w:spacing w:val="-2"/>
            <w:w w:val="125"/>
          </w:rPr>
          <w:t>email@example.com</w:t>
        </w:r>
      </w:hyperlink>
    </w:p>
    <w:p>
      <w:pPr>
        <w:pStyle w:val="BodyText"/>
        <w:spacing w:before="31"/>
        <w:ind w:left="51"/>
      </w:pPr>
      <w:r>
        <w:rPr>
          <w:color w:val="58585B"/>
          <w:w w:val="125"/>
        </w:rPr>
        <w:t>(000)</w:t>
      </w:r>
      <w:r>
        <w:rPr>
          <w:color w:val="58585B"/>
          <w:spacing w:val="19"/>
          <w:w w:val="125"/>
        </w:rPr>
        <w:t> </w:t>
      </w:r>
      <w:r>
        <w:rPr>
          <w:color w:val="58585B"/>
          <w:w w:val="125"/>
        </w:rPr>
        <w:t>000-</w:t>
      </w:r>
      <w:r>
        <w:rPr>
          <w:color w:val="58585B"/>
          <w:spacing w:val="-4"/>
          <w:w w:val="125"/>
        </w:rPr>
        <w:t>0000</w:t>
      </w:r>
    </w:p>
    <w:p>
      <w:pPr>
        <w:pStyle w:val="BodyText"/>
        <w:spacing w:before="32"/>
        <w:ind w:left="51"/>
      </w:pPr>
      <w:r>
        <w:rPr>
          <w:color w:val="58585B"/>
          <w:w w:val="115"/>
        </w:rPr>
        <w:t>LinkedIn</w:t>
      </w:r>
      <w:r>
        <w:rPr>
          <w:color w:val="58585B"/>
          <w:spacing w:val="31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32"/>
          <w:w w:val="115"/>
        </w:rPr>
        <w:t> </w:t>
      </w:r>
      <w:r>
        <w:rPr>
          <w:color w:val="58585B"/>
          <w:spacing w:val="-2"/>
          <w:w w:val="115"/>
        </w:rPr>
        <w:t>Portfolio</w:t>
      </w:r>
    </w:p>
    <w:p>
      <w:pPr>
        <w:pStyle w:val="BodyText"/>
        <w:spacing w:before="32"/>
      </w:pPr>
    </w:p>
    <w:p>
      <w:pPr>
        <w:pStyle w:val="Heading3"/>
        <w:spacing w:line="264" w:lineRule="auto"/>
      </w:pPr>
      <w:r>
        <w:rPr>
          <w:color w:val="58585B"/>
          <w:w w:val="130"/>
        </w:rPr>
        <w:t>Urban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Planning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Engineer </w:t>
      </w:r>
      <w:r>
        <w:rPr>
          <w:color w:val="58585B"/>
          <w:spacing w:val="-2"/>
          <w:w w:val="130"/>
        </w:rPr>
        <w:t>focused</w:t>
      </w:r>
      <w:r>
        <w:rPr>
          <w:color w:val="58585B"/>
          <w:spacing w:val="-15"/>
          <w:w w:val="130"/>
        </w:rPr>
        <w:t> </w:t>
      </w:r>
      <w:r>
        <w:rPr>
          <w:color w:val="58585B"/>
          <w:spacing w:val="-2"/>
          <w:w w:val="130"/>
        </w:rPr>
        <w:t>on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infrastructure </w:t>
      </w:r>
      <w:r>
        <w:rPr>
          <w:color w:val="58585B"/>
          <w:w w:val="130"/>
        </w:rPr>
        <w:t>and land use </w:t>
      </w:r>
      <w:r>
        <w:rPr>
          <w:color w:val="58585B"/>
          <w:spacing w:val="-2"/>
          <w:w w:val="130"/>
        </w:rPr>
        <w:t>coordination</w:t>
      </w:r>
    </w:p>
    <w:p>
      <w:pPr>
        <w:pStyle w:val="BodyText"/>
        <w:spacing w:line="266" w:lineRule="auto" w:before="123"/>
        <w:ind w:left="342"/>
      </w:pPr>
      <w:r>
        <w:rPr>
          <w:color w:val="58585B"/>
          <w:w w:val="125"/>
        </w:rPr>
        <w:t>Civil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Engineer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7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years of experience supporting land use planning, trafic forecasting, and utility planning for city and regional agencies.</w:t>
      </w:r>
    </w:p>
    <w:p>
      <w:pPr>
        <w:pStyle w:val="BodyText"/>
        <w:spacing w:line="261" w:lineRule="auto"/>
        <w:ind w:left="342" w:right="4"/>
      </w:pPr>
      <w:r>
        <w:rPr>
          <w:color w:val="58585B"/>
          <w:w w:val="125"/>
        </w:rPr>
        <w:t>Proicient in zoning </w:t>
      </w:r>
      <w:r>
        <w:rPr>
          <w:color w:val="58585B"/>
          <w:spacing w:val="-2"/>
          <w:w w:val="125"/>
        </w:rPr>
        <w:t>analysis,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stakeholder </w:t>
      </w:r>
      <w:r>
        <w:rPr>
          <w:color w:val="58585B"/>
          <w:w w:val="125"/>
        </w:rPr>
        <w:t>coordination, and</w:t>
      </w:r>
    </w:p>
    <w:p>
      <w:pPr>
        <w:pStyle w:val="BodyText"/>
        <w:spacing w:line="218" w:lineRule="exact" w:before="3"/>
        <w:ind w:left="342"/>
      </w:pPr>
      <w:r>
        <w:rPr>
          <w:color w:val="58585B"/>
          <w:w w:val="125"/>
        </w:rPr>
        <w:t>development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review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7"/>
      </w:pPr>
    </w:p>
    <w:p>
      <w:pPr>
        <w:pStyle w:val="BodyText"/>
        <w:ind w:left="51"/>
      </w:pPr>
      <w:r>
        <w:rPr>
          <w:color w:val="58585B"/>
          <w:w w:val="115"/>
        </w:rPr>
        <w:t>May</w:t>
      </w:r>
      <w:r>
        <w:rPr>
          <w:color w:val="58585B"/>
          <w:spacing w:val="-7"/>
          <w:w w:val="115"/>
        </w:rPr>
        <w:t> </w:t>
      </w:r>
      <w:r>
        <w:rPr>
          <w:color w:val="58585B"/>
          <w:w w:val="115"/>
        </w:rPr>
        <w:t>2018</w:t>
      </w:r>
      <w:r>
        <w:rPr>
          <w:color w:val="58585B"/>
          <w:spacing w:val="-6"/>
          <w:w w:val="115"/>
        </w:rPr>
        <w:t> </w:t>
      </w:r>
      <w:r>
        <w:rPr>
          <w:color w:val="58585B"/>
          <w:spacing w:val="-10"/>
          <w:w w:val="115"/>
        </w:rPr>
        <w:t>-</w:t>
      </w:r>
    </w:p>
    <w:p>
      <w:pPr>
        <w:pStyle w:val="BodyText"/>
        <w:spacing w:before="31"/>
        <w:ind w:left="51"/>
      </w:pPr>
      <w:r>
        <w:rPr>
          <w:color w:val="58585B"/>
          <w:w w:val="120"/>
        </w:rPr>
        <w:t>August</w:t>
      </w:r>
      <w:r>
        <w:rPr>
          <w:color w:val="58585B"/>
          <w:spacing w:val="52"/>
          <w:w w:val="120"/>
        </w:rPr>
        <w:t> </w:t>
      </w:r>
      <w:r>
        <w:rPr>
          <w:color w:val="58585B"/>
          <w:spacing w:val="-5"/>
          <w:w w:val="115"/>
        </w:rPr>
        <w:t>2018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Heading2"/>
      </w:pPr>
      <w:r>
        <w:rPr>
          <w:color w:val="00BCA2"/>
          <w:spacing w:val="-2"/>
        </w:rPr>
        <w:t>Education</w:t>
      </w:r>
    </w:p>
    <w:p>
      <w:pPr>
        <w:pStyle w:val="BodyText"/>
        <w:spacing w:line="268" w:lineRule="auto" w:before="187"/>
        <w:ind w:left="423"/>
      </w:pPr>
      <w:r>
        <w:rPr/>
        <w:br w:type="column"/>
      </w:r>
      <w:r>
        <w:rPr>
          <w:color w:val="58585B"/>
          <w:w w:val="125"/>
        </w:rPr>
        <w:t>development applications to ensure alignment with municipal master plans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131" w:hanging="354"/>
        <w:jc w:val="left"/>
        <w:rPr>
          <w:sz w:val="22"/>
        </w:rPr>
      </w:pPr>
      <w:r>
        <w:rPr>
          <w:color w:val="58585B"/>
          <w:w w:val="125"/>
          <w:sz w:val="22"/>
        </w:rPr>
        <w:t>Coordinated with citizens, developers, and council members on rezoning and variance </w:t>
      </w:r>
      <w:r>
        <w:rPr>
          <w:color w:val="58585B"/>
          <w:spacing w:val="-2"/>
          <w:w w:val="125"/>
          <w:sz w:val="22"/>
        </w:rPr>
        <w:t>requests</w:t>
      </w:r>
    </w:p>
    <w:p>
      <w:pPr>
        <w:pStyle w:val="BodyText"/>
        <w:spacing w:before="25"/>
      </w:pPr>
    </w:p>
    <w:p>
      <w:pPr>
        <w:spacing w:before="0"/>
        <w:ind w:left="5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Planning</w:t>
      </w:r>
      <w:r>
        <w:rPr>
          <w:rFonts w:ascii="Arial"/>
          <w:b/>
          <w:color w:val="58585B"/>
          <w:spacing w:val="-1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Intern</w:t>
      </w:r>
    </w:p>
    <w:p>
      <w:pPr>
        <w:spacing w:line="254" w:lineRule="auto" w:before="37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Southeast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Regional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Council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of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Governments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Lansing, MI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06" w:after="0"/>
        <w:ind w:left="423" w:right="97" w:hanging="354"/>
        <w:jc w:val="left"/>
        <w:rPr>
          <w:sz w:val="22"/>
        </w:rPr>
      </w:pPr>
      <w:r>
        <w:rPr>
          <w:color w:val="58585B"/>
          <w:w w:val="125"/>
          <w:sz w:val="22"/>
        </w:rPr>
        <w:t>Assisted in GIS mapping and transportation modeling for corridor studies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85" w:hanging="354"/>
        <w:jc w:val="left"/>
        <w:rPr>
          <w:sz w:val="22"/>
        </w:rPr>
      </w:pPr>
      <w:r>
        <w:rPr>
          <w:color w:val="58585B"/>
          <w:w w:val="125"/>
          <w:sz w:val="22"/>
        </w:rPr>
        <w:t>Participated in public outreach for planning studies across three counties</w:t>
      </w:r>
    </w:p>
    <w:p>
      <w:pPr>
        <w:pStyle w:val="ListParagraph"/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0" w:bottom="0" w:left="283" w:right="425"/>
          <w:cols w:num="3" w:equalWidth="0">
            <w:col w:w="3317" w:space="700"/>
            <w:col w:w="1418" w:space="377"/>
            <w:col w:w="5400"/>
          </w:cols>
        </w:sectPr>
      </w:pPr>
    </w:p>
    <w:p>
      <w:pPr>
        <w:pStyle w:val="BodyText"/>
        <w:spacing w:before="82"/>
        <w:ind w:left="3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93535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353550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2886074"/>
                            <a:ext cx="66675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2905125">
                                <a:moveTo>
                                  <a:pt x="66674" y="2905124"/>
                                </a:moveTo>
                                <a:lnTo>
                                  <a:pt x="0" y="2905124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2905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14312" y="64912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19074" y="64960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689133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689609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729138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729614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769143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7696199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809148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8096249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850106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85058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890111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890587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8272" id="docshapegroup1" coordorigin="0,0" coordsize="4020,16860">
                <v:shape style="position:absolute;left:0;top:0;width:4020;height:16860" id="docshape2" coordorigin="0,0" coordsize="4020,16860" path="m4020,0l0,0,0,510,0,4110,0,12750,0,14730,0,16860,4020,16860,4020,14730,4020,12750,4020,4110,4020,510,4020,0xe" filled="true" fillcolor="#f1f4f4" stroked="false">
                  <v:path arrowok="t"/>
                  <v:fill type="solid"/>
                </v:shape>
                <v:rect style="position:absolute;left:330;top:4545;width:105;height:4575" id="docshape3" filled="true" fillcolor="#00bca2" stroked="false">
                  <v:fill type="solid"/>
                </v:rect>
                <v:rect style="position:absolute;left:337;top:10222;width:3345;height:90" id="docshape4" filled="false" stroked="true" strokeweight=".75pt" strokecolor="#00bca2">
                  <v:stroke dashstyle="solid"/>
                </v:rect>
                <v:rect style="position:absolute;left:345;top:10230;width:3330;height:90" id="docshape5" filled="true" fillcolor="#00bca2" stroked="false">
                  <v:fill type="solid"/>
                </v:rect>
                <v:rect style="position:absolute;left:337;top:10852;width:3345;height:105" id="docshape6" filled="false" stroked="true" strokeweight=".75pt" strokecolor="#00bca2">
                  <v:stroke dashstyle="solid"/>
                </v:rect>
                <v:rect style="position:absolute;left:345;top:10860;width:2655;height:90" id="docshape7" filled="true" fillcolor="#00bca2" stroked="false">
                  <v:fill type="solid"/>
                </v:rect>
                <v:rect style="position:absolute;left:337;top:11482;width:3345;height:105" id="docshape8" filled="false" stroked="true" strokeweight=".75pt" strokecolor="#00bca2">
                  <v:stroke dashstyle="solid"/>
                </v:rect>
                <v:rect style="position:absolute;left:345;top:11490;width:2655;height:90" id="docshape9" filled="true" fillcolor="#00bca2" stroked="false">
                  <v:fill type="solid"/>
                </v:rect>
                <v:rect style="position:absolute;left:337;top:12112;width:3345;height:105" id="docshape10" filled="false" stroked="true" strokeweight=".75pt" strokecolor="#00bca2">
                  <v:stroke dashstyle="solid"/>
                </v:rect>
                <v:rect style="position:absolute;left:345;top:12120;width:1995;height:105" id="docshape11" filled="true" fillcolor="#00bca2" stroked="false">
                  <v:fill type="solid"/>
                </v:rect>
                <v:rect style="position:absolute;left:337;top:12742;width:3345;height:105" id="docshape12" filled="false" stroked="true" strokeweight=".75pt" strokecolor="#00bca2">
                  <v:stroke dashstyle="solid"/>
                </v:rect>
                <v:rect style="position:absolute;left:345;top:12750;width:1995;height:105" id="docshape13" filled="true" fillcolor="#00bca2" stroked="false">
                  <v:fill type="solid"/>
                </v:rect>
                <v:rect style="position:absolute;left:337;top:13387;width:3345;height:90" id="docshape14" filled="false" stroked="true" strokeweight=".75pt" strokecolor="#00bca2">
                  <v:stroke dashstyle="solid"/>
                </v:rect>
                <v:rect style="position:absolute;left:345;top:13395;width:1335;height:90" id="docshape15" filled="true" fillcolor="#00bca2" stroked="false">
                  <v:fill type="solid"/>
                </v:rect>
                <v:rect style="position:absolute;left:337;top:14017;width:3345;height:90" id="docshape16" filled="false" stroked="true" strokeweight=".75pt" strokecolor="#00bca2">
                  <v:stroke dashstyle="solid"/>
                </v:rect>
                <v:rect style="position:absolute;left:345;top:14025;width:675;height:90" id="docshape17" filled="true" fillcolor="#00bca2" stroked="false">
                  <v:fill type="solid"/>
                </v:rect>
                <v:shape style="position:absolute;left:330;top:1065;width:1005;height:1005" type="#_x0000_t75" id="docshape18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  <w:w w:val="120"/>
        </w:rPr>
        <w:t>processes.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Heading2"/>
      </w:pPr>
      <w:r>
        <w:rPr>
          <w:color w:val="00BCA2"/>
          <w:spacing w:val="-2"/>
        </w:rPr>
        <w:t>Key</w:t>
      </w:r>
      <w:r>
        <w:rPr>
          <w:color w:val="00BCA2"/>
          <w:spacing w:val="-16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111"/>
        <w:rPr>
          <w:rFonts w:ascii="Arial"/>
          <w:b/>
          <w:sz w:val="26"/>
        </w:rPr>
      </w:pPr>
    </w:p>
    <w:p>
      <w:pPr>
        <w:pStyle w:val="BodyText"/>
        <w:spacing w:line="564" w:lineRule="auto"/>
        <w:ind w:left="51"/>
      </w:pPr>
      <w:r>
        <w:rPr>
          <w:color w:val="58585B"/>
          <w:w w:val="125"/>
        </w:rPr>
        <w:t>Comprehensive planning Community impact analysis </w:t>
      </w:r>
      <w:r>
        <w:rPr>
          <w:color w:val="58585B"/>
          <w:spacing w:val="-4"/>
          <w:w w:val="125"/>
        </w:rPr>
        <w:t>GIS</w:t>
      </w:r>
    </w:p>
    <w:p>
      <w:pPr>
        <w:pStyle w:val="BodyText"/>
        <w:spacing w:line="564" w:lineRule="auto"/>
        <w:ind w:left="51" w:right="153"/>
      </w:pPr>
      <w:r>
        <w:rPr>
          <w:color w:val="58585B"/>
          <w:w w:val="125"/>
        </w:rPr>
        <w:t>Infrastructure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planning Land use policy</w:t>
      </w:r>
    </w:p>
    <w:p>
      <w:pPr>
        <w:pStyle w:val="BodyText"/>
        <w:spacing w:line="564" w:lineRule="auto" w:before="10"/>
        <w:ind w:left="51" w:right="153"/>
      </w:pPr>
      <w:r>
        <w:rPr>
          <w:color w:val="58585B"/>
          <w:w w:val="130"/>
        </w:rPr>
        <w:t>Public</w:t>
      </w:r>
      <w:r>
        <w:rPr>
          <w:color w:val="58585B"/>
          <w:spacing w:val="-17"/>
          <w:w w:val="130"/>
        </w:rPr>
        <w:t> </w:t>
      </w:r>
      <w:r>
        <w:rPr>
          <w:color w:val="58585B"/>
          <w:w w:val="130"/>
        </w:rPr>
        <w:t>engagement Zoning reviews</w:t>
      </w:r>
    </w:p>
    <w:p>
      <w:pPr>
        <w:tabs>
          <w:tab w:pos="1845" w:val="left" w:leader="none"/>
        </w:tabs>
        <w:spacing w:line="262" w:lineRule="exact" w:before="7"/>
        <w:ind w:left="51" w:right="0" w:firstLine="0"/>
        <w:jc w:val="left"/>
        <w:rPr>
          <w:rFonts w:ascii="Arial"/>
          <w:b/>
          <w:position w:val="1"/>
          <w:sz w:val="18"/>
        </w:rPr>
      </w:pPr>
      <w:r>
        <w:rPr/>
        <w:br w:type="column"/>
      </w:r>
      <w:r>
        <w:rPr>
          <w:i/>
          <w:color w:val="58585B"/>
          <w:w w:val="110"/>
          <w:sz w:val="22"/>
        </w:rPr>
        <w:t>May</w:t>
      </w:r>
      <w:r>
        <w:rPr>
          <w:i/>
          <w:color w:val="58585B"/>
          <w:spacing w:val="44"/>
          <w:w w:val="110"/>
          <w:sz w:val="22"/>
        </w:rPr>
        <w:t> </w:t>
      </w:r>
      <w:r>
        <w:rPr>
          <w:i/>
          <w:color w:val="58585B"/>
          <w:spacing w:val="-4"/>
          <w:w w:val="105"/>
          <w:sz w:val="22"/>
        </w:rPr>
        <w:t>2019</w:t>
      </w:r>
      <w:r>
        <w:rPr>
          <w:i/>
          <w:color w:val="58585B"/>
          <w:sz w:val="22"/>
        </w:rPr>
        <w:tab/>
      </w:r>
      <w:r>
        <w:rPr>
          <w:rFonts w:ascii="Arial"/>
          <w:b/>
          <w:color w:val="58585B"/>
          <w:position w:val="1"/>
          <w:sz w:val="18"/>
        </w:rPr>
        <w:t>Bachelor</w:t>
      </w:r>
      <w:r>
        <w:rPr>
          <w:rFonts w:ascii="Arial"/>
          <w:b/>
          <w:color w:val="58585B"/>
          <w:spacing w:val="-5"/>
          <w:position w:val="1"/>
          <w:sz w:val="18"/>
        </w:rPr>
        <w:t> </w:t>
      </w:r>
      <w:r>
        <w:rPr>
          <w:rFonts w:ascii="Arial"/>
          <w:b/>
          <w:color w:val="58585B"/>
          <w:position w:val="1"/>
          <w:sz w:val="18"/>
        </w:rPr>
        <w:t>of</w:t>
      </w:r>
      <w:r>
        <w:rPr>
          <w:rFonts w:ascii="Arial"/>
          <w:b/>
          <w:color w:val="58585B"/>
          <w:spacing w:val="-4"/>
          <w:position w:val="1"/>
          <w:sz w:val="18"/>
        </w:rPr>
        <w:t> </w:t>
      </w:r>
      <w:r>
        <w:rPr>
          <w:rFonts w:ascii="Arial"/>
          <w:b/>
          <w:color w:val="58585B"/>
          <w:position w:val="1"/>
          <w:sz w:val="18"/>
        </w:rPr>
        <w:t>Science</w:t>
      </w:r>
      <w:r>
        <w:rPr>
          <w:rFonts w:ascii="Arial"/>
          <w:b/>
          <w:color w:val="58585B"/>
          <w:spacing w:val="-4"/>
          <w:position w:val="1"/>
          <w:sz w:val="18"/>
        </w:rPr>
        <w:t> </w:t>
      </w:r>
      <w:r>
        <w:rPr>
          <w:rFonts w:ascii="Arial"/>
          <w:b/>
          <w:color w:val="58585B"/>
          <w:position w:val="1"/>
          <w:sz w:val="18"/>
        </w:rPr>
        <w:t>in</w:t>
      </w:r>
      <w:r>
        <w:rPr>
          <w:rFonts w:ascii="Arial"/>
          <w:b/>
          <w:color w:val="58585B"/>
          <w:spacing w:val="-4"/>
          <w:position w:val="1"/>
          <w:sz w:val="18"/>
        </w:rPr>
        <w:t> </w:t>
      </w:r>
      <w:r>
        <w:rPr>
          <w:rFonts w:ascii="Arial"/>
          <w:b/>
          <w:color w:val="58585B"/>
          <w:position w:val="1"/>
          <w:sz w:val="18"/>
        </w:rPr>
        <w:t>Civil</w:t>
      </w:r>
      <w:r>
        <w:rPr>
          <w:rFonts w:ascii="Arial"/>
          <w:b/>
          <w:color w:val="58585B"/>
          <w:spacing w:val="-5"/>
          <w:position w:val="1"/>
          <w:sz w:val="18"/>
        </w:rPr>
        <w:t> </w:t>
      </w:r>
      <w:r>
        <w:rPr>
          <w:rFonts w:ascii="Arial"/>
          <w:b/>
          <w:color w:val="58585B"/>
          <w:spacing w:val="-2"/>
          <w:position w:val="1"/>
          <w:sz w:val="18"/>
        </w:rPr>
        <w:t>Engineering</w:t>
      </w:r>
    </w:p>
    <w:p>
      <w:pPr>
        <w:pStyle w:val="BodyText"/>
        <w:spacing w:line="262" w:lineRule="exact"/>
        <w:ind w:left="1846"/>
      </w:pPr>
      <w:r>
        <w:rPr>
          <w:color w:val="58585B"/>
          <w:w w:val="125"/>
        </w:rPr>
        <w:t>Michigan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Technological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University</w:t>
      </w: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2"/>
      </w:pPr>
      <w:r>
        <w:rPr>
          <w:color w:val="00BCA2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260" w:after="0"/>
        <w:ind w:left="423" w:right="313" w:hanging="360"/>
        <w:jc w:val="left"/>
        <w:rPr>
          <w:sz w:val="22"/>
        </w:rPr>
      </w:pPr>
      <w:r>
        <w:rPr>
          <w:color w:val="58585B"/>
          <w:w w:val="120"/>
          <w:sz w:val="22"/>
        </w:rPr>
        <w:t>Engineer in Training (EIT) </w:t>
      </w:r>
      <w:r>
        <w:rPr>
          <w:color w:val="58585B"/>
          <w:sz w:val="22"/>
        </w:rPr>
        <w:t>| </w:t>
      </w:r>
      <w:r>
        <w:rPr>
          <w:color w:val="58585B"/>
          <w:w w:val="120"/>
          <w:sz w:val="22"/>
        </w:rPr>
        <w:t>Michigan Board of Professional </w:t>
      </w:r>
      <w:r>
        <w:rPr>
          <w:color w:val="58585B"/>
          <w:spacing w:val="-2"/>
          <w:w w:val="120"/>
          <w:sz w:val="22"/>
        </w:rPr>
        <w:t>Engineers</w:t>
      </w:r>
    </w:p>
    <w:sectPr>
      <w:type w:val="continuous"/>
      <w:pgSz w:w="11920" w:h="16860"/>
      <w:pgMar w:top="0" w:bottom="0" w:left="283" w:right="425"/>
      <w:cols w:num="2" w:equalWidth="0">
        <w:col w:w="3176" w:space="841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7" w:hanging="3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5" w:hanging="3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13" w:hanging="3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11" w:hanging="3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9" w:hanging="3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07" w:hanging="3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5" w:hanging="3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02" w:hanging="3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"/>
      <w:ind w:left="51"/>
      <w:outlineLvl w:val="1"/>
    </w:pPr>
    <w:rPr>
      <w:rFonts w:ascii="Arial" w:hAnsi="Arial" w:eastAsia="Arial" w:cs="Arial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342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hanging="35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2025-12-22T11:36:29Z</dcterms:created>
  <dcterms:modified xsi:type="dcterms:W3CDTF">2025-12-22T11:36:29Z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