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  <w:spacing w:val="-4"/>
        </w:rPr>
        <w:t>Reese</w:t>
      </w:r>
      <w:r>
        <w:rPr>
          <w:color w:val="E360CA"/>
          <w:spacing w:val="-28"/>
        </w:rPr>
        <w:t> </w:t>
      </w:r>
      <w:r>
        <w:rPr>
          <w:color w:val="E360CA"/>
          <w:spacing w:val="-4"/>
        </w:rPr>
        <w:t>King</w:t>
      </w:r>
    </w:p>
    <w:p>
      <w:pPr>
        <w:pStyle w:val="Heading2"/>
      </w:pPr>
      <w:r>
        <w:rPr/>
        <w:t>Bankruptcy</w:t>
      </w:r>
      <w:r>
        <w:rPr>
          <w:spacing w:val="-9"/>
        </w:rPr>
        <w:t> </w:t>
      </w:r>
      <w:r>
        <w:rPr/>
        <w:t>Legal</w:t>
      </w:r>
      <w:r>
        <w:rPr>
          <w:spacing w:val="-9"/>
        </w:rPr>
        <w:t> </w:t>
      </w:r>
      <w:r>
        <w:rPr>
          <w:spacing w:val="-2"/>
        </w:rPr>
        <w:t>Assistant</w:t>
      </w:r>
    </w:p>
    <w:p>
      <w:pPr>
        <w:pStyle w:val="BodyText"/>
        <w:spacing w:line="268" w:lineRule="auto" w:before="83"/>
        <w:ind w:left="1328"/>
      </w:pPr>
      <w:r>
        <w:rPr/>
        <w:br w:type="column"/>
      </w:r>
      <w:r>
        <w:rPr>
          <w:color w:val="E360CA"/>
          <w:w w:val="120"/>
        </w:rPr>
        <w:t>City, ST </w:t>
      </w:r>
      <w:hyperlink r:id="rId5">
        <w:r>
          <w:rPr>
            <w:color w:val="E360CA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2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-229973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w w:val="110"/>
        </w:rPr>
        <w:t>(123)</w:t>
      </w:r>
      <w:r>
        <w:rPr>
          <w:color w:val="E360CA"/>
          <w:spacing w:val="12"/>
          <w:w w:val="110"/>
        </w:rPr>
        <w:t> </w:t>
      </w:r>
      <w:r>
        <w:rPr>
          <w:color w:val="E360CA"/>
          <w:w w:val="110"/>
        </w:rPr>
        <w:t>456-</w:t>
      </w:r>
      <w:r>
        <w:rPr>
          <w:color w:val="E360CA"/>
          <w:spacing w:val="-4"/>
          <w:w w:val="110"/>
        </w:rPr>
        <w:t>7890</w:t>
      </w:r>
    </w:p>
    <w:p>
      <w:pPr>
        <w:pStyle w:val="BodyText"/>
        <w:spacing w:line="268" w:lineRule="auto" w:before="31"/>
        <w:ind w:left="1328"/>
      </w:pPr>
      <w:hyperlink r:id="rId7">
        <w:r>
          <w:rPr>
            <w:color w:val="E360CA"/>
            <w:spacing w:val="-2"/>
            <w:w w:val="120"/>
          </w:rPr>
          <w:t>www.example.com/p</w:t>
        </w:r>
      </w:hyperlink>
      <w:r>
        <w:rPr>
          <w:color w:val="E360CA"/>
          <w:spacing w:val="-2"/>
          <w:w w:val="120"/>
        </w:rPr>
        <w:t> 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4424" w:space="3041"/>
            <w:col w:w="3889"/>
          </w:cols>
        </w:sectPr>
      </w:pPr>
    </w:p>
    <w:p>
      <w:pPr>
        <w:pStyle w:val="BodyText"/>
        <w:spacing w:before="24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  <w:spacing w:before="139"/>
      </w:pPr>
      <w:r>
        <w:rPr>
          <w:spacing w:val="-8"/>
        </w:rPr>
        <w:t>Bankruptcy</w:t>
      </w:r>
      <w:r>
        <w:rPr>
          <w:spacing w:val="-3"/>
        </w:rPr>
        <w:t> </w:t>
      </w:r>
      <w:r>
        <w:rPr>
          <w:spacing w:val="-8"/>
        </w:rPr>
        <w:t>Legal</w:t>
      </w:r>
      <w:r>
        <w:rPr>
          <w:spacing w:val="-3"/>
        </w:rPr>
        <w:t> </w:t>
      </w:r>
      <w:r>
        <w:rPr>
          <w:spacing w:val="-8"/>
        </w:rPr>
        <w:t>Assistant</w:t>
      </w:r>
      <w:r>
        <w:rPr>
          <w:spacing w:val="-3"/>
        </w:rPr>
        <w:t> </w:t>
      </w:r>
      <w:r>
        <w:rPr>
          <w:spacing w:val="-8"/>
        </w:rPr>
        <w:t>skilled</w:t>
      </w:r>
      <w:r>
        <w:rPr>
          <w:spacing w:val="-3"/>
        </w:rPr>
        <w:t> </w:t>
      </w:r>
      <w:r>
        <w:rPr>
          <w:spacing w:val="-8"/>
        </w:rPr>
        <w:t>in</w:t>
      </w:r>
      <w:r>
        <w:rPr>
          <w:spacing w:val="-3"/>
        </w:rPr>
        <w:t> </w:t>
      </w:r>
      <w:r>
        <w:rPr>
          <w:spacing w:val="-8"/>
        </w:rPr>
        <w:t>managing</w:t>
      </w:r>
      <w:r>
        <w:rPr>
          <w:spacing w:val="-3"/>
        </w:rPr>
        <w:t> </w:t>
      </w:r>
      <w:r>
        <w:rPr>
          <w:spacing w:val="-8"/>
        </w:rPr>
        <w:t>filings</w:t>
      </w:r>
      <w:r>
        <w:rPr>
          <w:spacing w:val="-3"/>
        </w:rPr>
        <w:t> </w:t>
      </w:r>
      <w:r>
        <w:rPr>
          <w:spacing w:val="-8"/>
        </w:rPr>
        <w:t>and</w:t>
      </w:r>
      <w:r>
        <w:rPr>
          <w:spacing w:val="-2"/>
        </w:rPr>
        <w:t> </w:t>
      </w:r>
      <w:r>
        <w:rPr>
          <w:spacing w:val="-8"/>
        </w:rPr>
        <w:t>client</w:t>
      </w:r>
      <w:r>
        <w:rPr>
          <w:spacing w:val="-3"/>
        </w:rPr>
        <w:t> </w:t>
      </w:r>
      <w:r>
        <w:rPr>
          <w:spacing w:val="-8"/>
        </w:rPr>
        <w:t>financial</w:t>
      </w:r>
      <w:r>
        <w:rPr>
          <w:spacing w:val="-3"/>
        </w:rPr>
        <w:t> </w:t>
      </w:r>
      <w:r>
        <w:rPr>
          <w:spacing w:val="-8"/>
        </w:rPr>
        <w:t>disclosures</w:t>
      </w:r>
    </w:p>
    <w:p>
      <w:pPr>
        <w:pStyle w:val="BodyText"/>
        <w:spacing w:line="268" w:lineRule="auto" w:before="149"/>
        <w:ind w:left="51" w:right="304"/>
      </w:pPr>
      <w:r>
        <w:rPr>
          <w:w w:val="120"/>
        </w:rPr>
        <w:t>Organized</w:t>
      </w:r>
      <w:r>
        <w:rPr>
          <w:spacing w:val="32"/>
          <w:w w:val="120"/>
        </w:rPr>
        <w:t> </w:t>
      </w:r>
      <w:r>
        <w:rPr>
          <w:w w:val="120"/>
        </w:rPr>
        <w:t>Legal</w:t>
      </w:r>
      <w:r>
        <w:rPr>
          <w:spacing w:val="32"/>
          <w:w w:val="120"/>
        </w:rPr>
        <w:t> </w:t>
      </w:r>
      <w:r>
        <w:rPr>
          <w:w w:val="120"/>
        </w:rPr>
        <w:t>Assistant</w:t>
      </w:r>
      <w:r>
        <w:rPr>
          <w:spacing w:val="32"/>
          <w:w w:val="120"/>
        </w:rPr>
        <w:t> </w:t>
      </w:r>
      <w:r>
        <w:rPr>
          <w:w w:val="120"/>
        </w:rPr>
        <w:t>with</w:t>
      </w:r>
      <w:r>
        <w:rPr>
          <w:spacing w:val="32"/>
          <w:w w:val="120"/>
        </w:rPr>
        <w:t> </w:t>
      </w:r>
      <w:r>
        <w:rPr>
          <w:w w:val="120"/>
        </w:rPr>
        <w:t>7</w:t>
      </w:r>
      <w:r>
        <w:rPr>
          <w:spacing w:val="32"/>
          <w:w w:val="120"/>
        </w:rPr>
        <w:t> </w:t>
      </w:r>
      <w:r>
        <w:rPr>
          <w:w w:val="120"/>
        </w:rPr>
        <w:t>years</w:t>
      </w:r>
      <w:r>
        <w:rPr>
          <w:spacing w:val="32"/>
          <w:w w:val="120"/>
        </w:rPr>
        <w:t> </w:t>
      </w:r>
      <w:r>
        <w:rPr>
          <w:w w:val="120"/>
        </w:rPr>
        <w:t>of</w:t>
      </w:r>
      <w:r>
        <w:rPr>
          <w:spacing w:val="32"/>
          <w:w w:val="120"/>
        </w:rPr>
        <w:t> </w:t>
      </w:r>
      <w:r>
        <w:rPr>
          <w:w w:val="120"/>
        </w:rPr>
        <w:t>experience</w:t>
      </w:r>
      <w:r>
        <w:rPr>
          <w:spacing w:val="32"/>
          <w:w w:val="120"/>
        </w:rPr>
        <w:t> </w:t>
      </w:r>
      <w:r>
        <w:rPr>
          <w:w w:val="120"/>
        </w:rPr>
        <w:t>supporting</w:t>
      </w:r>
      <w:r>
        <w:rPr>
          <w:spacing w:val="32"/>
          <w:w w:val="120"/>
        </w:rPr>
        <w:t> </w:t>
      </w:r>
      <w:r>
        <w:rPr>
          <w:w w:val="120"/>
        </w:rPr>
        <w:t>bankruptcy</w:t>
      </w:r>
      <w:r>
        <w:rPr>
          <w:spacing w:val="32"/>
          <w:w w:val="120"/>
        </w:rPr>
        <w:t> </w:t>
      </w:r>
      <w:r>
        <w:rPr>
          <w:w w:val="120"/>
        </w:rPr>
        <w:t>attorneys</w:t>
      </w:r>
      <w:r>
        <w:rPr>
          <w:spacing w:val="32"/>
          <w:w w:val="120"/>
        </w:rPr>
        <w:t> </w:t>
      </w:r>
      <w:r>
        <w:rPr>
          <w:w w:val="120"/>
        </w:rPr>
        <w:t>in</w:t>
      </w:r>
      <w:r>
        <w:rPr>
          <w:spacing w:val="32"/>
          <w:w w:val="120"/>
        </w:rPr>
        <w:t> </w:t>
      </w:r>
      <w:r>
        <w:rPr>
          <w:w w:val="120"/>
        </w:rPr>
        <w:t>Chapter</w:t>
      </w:r>
      <w:r>
        <w:rPr>
          <w:spacing w:val="32"/>
          <w:w w:val="120"/>
        </w:rPr>
        <w:t> </w:t>
      </w:r>
      <w:r>
        <w:rPr>
          <w:w w:val="120"/>
        </w:rPr>
        <w:t>7 and Chapter 13 proceedings. Proficient in electronic court filing systems, financial statement prep,</w:t>
      </w:r>
      <w:r>
        <w:rPr>
          <w:spacing w:val="80"/>
          <w:w w:val="15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client</w:t>
      </w:r>
      <w:r>
        <w:rPr>
          <w:spacing w:val="40"/>
          <w:w w:val="120"/>
        </w:rPr>
        <w:t> </w:t>
      </w:r>
      <w:r>
        <w:rPr>
          <w:w w:val="120"/>
        </w:rPr>
        <w:t>communication</w:t>
      </w:r>
      <w:r>
        <w:rPr>
          <w:spacing w:val="40"/>
          <w:w w:val="120"/>
        </w:rPr>
        <w:t> </w:t>
      </w:r>
      <w:r>
        <w:rPr>
          <w:w w:val="120"/>
        </w:rPr>
        <w:t>during</w:t>
      </w:r>
      <w:r>
        <w:rPr>
          <w:spacing w:val="40"/>
          <w:w w:val="120"/>
        </w:rPr>
        <w:t> </w:t>
      </w:r>
      <w:r>
        <w:rPr>
          <w:w w:val="120"/>
        </w:rPr>
        <w:t>complex</w:t>
      </w:r>
      <w:r>
        <w:rPr>
          <w:spacing w:val="40"/>
          <w:w w:val="120"/>
        </w:rPr>
        <w:t> </w:t>
      </w: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processes.</w:t>
      </w:r>
    </w:p>
    <w:p>
      <w:pPr>
        <w:pStyle w:val="BodyText"/>
        <w:spacing w:before="6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112574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864153pt;width:563.249955pt;height:5.25pt;mso-position-horizontal-relative:page;mso-position-vertical-relative:paragraph;z-index:-15728128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422887</wp:posOffset>
                </wp:positionV>
                <wp:extent cx="1209675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98241pt;width:95.25pt;height:5.25pt;mso-position-horizontal-relative:page;mso-position-vertical-relative:paragraph;z-index:15731200" id="docshapegroup4" coordorigin="330,666" coordsize="1905,105">
                <v:rect style="position:absolute;left:337;top:673;width:1890;height:90" id="docshape5" filled="false" stroked="true" strokeweight=".75pt" strokecolor="#e360ca">
                  <v:stroke dashstyle="solid"/>
                </v:rect>
                <v:rect style="position:absolute;left:345;top:680;width:1875;height:90" id="docshape6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314" w:lineRule="auto"/>
        <w:ind w:left="51" w:right="546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295279</wp:posOffset>
                </wp:positionV>
                <wp:extent cx="12096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250387pt;width:95.25pt;height:5.25pt;mso-position-horizontal-relative:page;mso-position-vertical-relative:paragraph;z-index:15731712" id="docshapegroup7" coordorigin="330,465" coordsize="1905,105">
                <v:rect style="position:absolute;left:337;top:472;width:1890;height:90" id="docshape8" filled="false" stroked="true" strokeweight=".75pt" strokecolor="#e360ca">
                  <v:stroke dashstyle="solid"/>
                </v:rect>
                <v:rect style="position:absolute;left:345;top:480;width:1500;height:90" id="docshape9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514354</wp:posOffset>
                </wp:positionV>
                <wp:extent cx="12096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500385pt;width:95.25pt;height:6pt;mso-position-horizontal-relative:page;mso-position-vertical-relative:paragraph;z-index:15732224" id="docshapegroup10" coordorigin="330,810" coordsize="1905,120">
                <v:rect style="position:absolute;left:337;top:817;width:1890;height:105" id="docshape11" filled="false" stroked="true" strokeweight=".75pt" strokecolor="#e360ca">
                  <v:stroke dashstyle="solid"/>
                </v:rect>
                <v:rect style="position:absolute;left:345;top:825;width:1500;height:90" id="docshape12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0"/>
        </w:rPr>
        <w:t>Chapter 7 and Chapter 13 filings Bankruptcy petition preparation Case docketing</w:t>
      </w:r>
    </w:p>
    <w:p>
      <w:pPr>
        <w:pStyle w:val="BodyText"/>
        <w:spacing w:before="10"/>
        <w:ind w:left="5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72763</wp:posOffset>
                </wp:positionV>
                <wp:extent cx="12096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729387pt;width:95.25pt;height:5.25pt;mso-position-horizontal-relative:page;mso-position-vertical-relative:paragraph;z-index:15732736" id="docshapegroup13" coordorigin="330,115" coordsize="1905,105">
                <v:rect style="position:absolute;left:337;top:122;width:1890;height:90" id="docshape14" filled="false" stroked="true" strokeweight=".75pt" strokecolor="#e360ca">
                  <v:stroke dashstyle="solid"/>
                </v:rect>
                <v:rect style="position:absolute;left:345;top:129;width:1125;height:90" id="docshape15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ECF</w:t>
      </w:r>
      <w:r>
        <w:rPr>
          <w:spacing w:val="14"/>
          <w:w w:val="125"/>
        </w:rPr>
        <w:t> </w:t>
      </w:r>
      <w:r>
        <w:rPr>
          <w:w w:val="125"/>
        </w:rPr>
        <w:t>court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filing</w:t>
      </w:r>
    </w:p>
    <w:p>
      <w:pPr>
        <w:pStyle w:val="BodyText"/>
        <w:spacing w:line="321" w:lineRule="auto" w:before="76"/>
        <w:ind w:left="51" w:right="536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114955</wp:posOffset>
                </wp:positionV>
                <wp:extent cx="12096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051652pt;width:95.25pt;height:6pt;mso-position-horizontal-relative:page;mso-position-vertical-relative:paragraph;z-index:15733248" id="docshapegroup16" coordorigin="330,181" coordsize="1905,120">
                <v:rect style="position:absolute;left:337;top:188;width:1890;height:105" id="docshape17" filled="false" stroked="true" strokeweight=".75pt" strokecolor="#e360ca">
                  <v:stroke dashstyle="solid"/>
                </v:rect>
                <v:rect style="position:absolute;left:345;top:196;width:1125;height:90" id="docshape18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343555</wp:posOffset>
                </wp:positionV>
                <wp:extent cx="1209675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7.051651pt;width:95.25pt;height:5.25pt;mso-position-horizontal-relative:page;mso-position-vertical-relative:paragraph;z-index:15733760" id="docshapegroup19" coordorigin="330,541" coordsize="1905,105">
                <v:rect style="position:absolute;left:337;top:548;width:1890;height:90" id="docshape20" filled="false" stroked="true" strokeweight=".75pt" strokecolor="#e360ca">
                  <v:stroke dashstyle="solid"/>
                </v:rect>
                <v:rect style="position:absolute;left:345;top:556;width:750;height:90" id="docshape21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Financial statement organization Client support</w:t>
      </w:r>
    </w:p>
    <w:p>
      <w:pPr>
        <w:pStyle w:val="BodyText"/>
        <w:spacing w:before="1"/>
        <w:ind w:left="5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57344</wp:posOffset>
                </wp:positionV>
                <wp:extent cx="1209675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515321pt;width:95.25pt;height:6pt;mso-position-horizontal-relative:page;mso-position-vertical-relative:paragraph;z-index:15734272" id="docshapegroup22" coordorigin="330,90" coordsize="1905,120">
                <v:rect style="position:absolute;left:337;top:97;width:1890;height:105" id="docshape23" filled="false" stroked="true" strokeweight=".75pt" strokecolor="#e360ca">
                  <v:stroke dashstyle="solid"/>
                </v:rect>
                <v:rect style="position:absolute;left:345;top:105;width:750;height:105" id="docshape24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0"/>
        </w:rPr>
        <w:t>Microsoft</w:t>
      </w:r>
      <w:r>
        <w:rPr>
          <w:spacing w:val="-14"/>
          <w:w w:val="120"/>
        </w:rPr>
        <w:t> </w:t>
      </w:r>
      <w:r>
        <w:rPr>
          <w:spacing w:val="-4"/>
          <w:w w:val="125"/>
        </w:rPr>
        <w:t>Excel</w:t>
      </w:r>
    </w:p>
    <w:p>
      <w:pPr>
        <w:pStyle w:val="BodyText"/>
        <w:spacing w:after="0"/>
        <w:jc w:val="both"/>
        <w:sectPr>
          <w:type w:val="continuous"/>
          <w:pgSz w:w="11920" w:h="16860"/>
          <w:pgMar w:top="740" w:bottom="280" w:left="283" w:right="283"/>
          <w:cols w:num="2" w:equalWidth="0">
            <w:col w:w="1245" w:space="987"/>
            <w:col w:w="9122"/>
          </w:cols>
        </w:sectPr>
      </w:pPr>
    </w:p>
    <w:p>
      <w:pPr>
        <w:pStyle w:val="BodyText"/>
        <w:spacing w:before="116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5" coordorigin="0,0" coordsize="11265,105">
                <v:rect style="position:absolute;left:0;top:0;width:11265;height:105" id="docshape26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3"/>
        <w:spacing w:before="131"/>
      </w:pP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spacing w:line="276" w:lineRule="auto" w:before="233"/>
        <w:ind w:left="51" w:right="385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Bankruptcy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Legal </w:t>
      </w:r>
      <w:r>
        <w:rPr>
          <w:rFonts w:ascii="Arial"/>
          <w:b/>
          <w:spacing w:val="-2"/>
          <w:w w:val="115"/>
          <w:sz w:val="22"/>
        </w:rPr>
        <w:t>Assistant </w:t>
      </w:r>
      <w:r>
        <w:rPr>
          <w:i/>
          <w:w w:val="115"/>
          <w:sz w:val="22"/>
        </w:rPr>
        <w:t>Hudson Legal</w:t>
      </w:r>
    </w:p>
    <w:p>
      <w:pPr>
        <w:spacing w:line="254" w:lineRule="auto" w:before="0"/>
        <w:ind w:left="51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Group,</w:t>
      </w:r>
      <w:r>
        <w:rPr>
          <w:i/>
          <w:spacing w:val="-16"/>
          <w:w w:val="125"/>
          <w:sz w:val="22"/>
        </w:rPr>
        <w:t> </w:t>
      </w:r>
      <w:r>
        <w:rPr>
          <w:i/>
          <w:w w:val="125"/>
          <w:sz w:val="22"/>
        </w:rPr>
        <w:t>Columbus,</w:t>
      </w:r>
      <w:r>
        <w:rPr>
          <w:i/>
          <w:w w:val="125"/>
          <w:sz w:val="22"/>
        </w:rPr>
        <w:t> </w:t>
      </w:r>
      <w:r>
        <w:rPr>
          <w:i/>
          <w:spacing w:val="-6"/>
          <w:w w:val="125"/>
          <w:sz w:val="22"/>
        </w:rPr>
        <w:t>OH</w:t>
      </w:r>
    </w:p>
    <w:p>
      <w:pPr>
        <w:spacing w:line="254" w:lineRule="auto" w:before="52"/>
        <w:ind w:left="51" w:right="385" w:firstLine="0"/>
        <w:jc w:val="left"/>
        <w:rPr>
          <w:i/>
          <w:sz w:val="22"/>
        </w:rPr>
      </w:pPr>
      <w:r>
        <w:rPr>
          <w:i/>
          <w:sz w:val="22"/>
        </w:rPr>
        <w:t>| </w:t>
      </w:r>
      <w:r>
        <w:rPr>
          <w:i/>
          <w:w w:val="115"/>
          <w:sz w:val="22"/>
        </w:rPr>
        <w:t>February 2019 -</w:t>
      </w:r>
      <w:r>
        <w:rPr>
          <w:i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before="155"/>
        <w:rPr>
          <w:i/>
        </w:rPr>
      </w:pPr>
    </w:p>
    <w:p>
      <w:pPr>
        <w:pStyle w:val="Heading4"/>
        <w:spacing w:line="285" w:lineRule="auto"/>
        <w:ind w:right="385"/>
        <w:rPr>
          <w:rFonts w:ascii="Arial" w:hAnsi="Arial"/>
        </w:rPr>
      </w:pPr>
      <w:r>
        <w:rPr>
          <w:rFonts w:ascii="Arial" w:hAnsi="Arial"/>
        </w:rPr>
        <w:t>Legal</w:t>
      </w:r>
      <w:r>
        <w:rPr>
          <w:rFonts w:ascii="Arial" w:hAnsi="Arial"/>
          <w:spacing w:val="-16"/>
        </w:rPr>
        <w:t> </w:t>
      </w:r>
      <w:r>
        <w:rPr>
          <w:rFonts w:ascii="Arial" w:hAnsi="Arial"/>
        </w:rPr>
        <w:t>Assistant</w:t>
      </w:r>
      <w:r>
        <w:rPr>
          <w:rFonts w:ascii="Arial" w:hAnsi="Arial"/>
          <w:spacing w:val="-15"/>
        </w:rPr>
        <w:t> </w:t>
      </w:r>
      <w:r>
        <w:rPr>
          <w:rFonts w:ascii="Arial" w:hAnsi="Arial"/>
        </w:rPr>
        <w:t>– </w:t>
      </w:r>
      <w:r>
        <w:rPr>
          <w:rFonts w:ascii="Arial" w:hAnsi="Arial"/>
          <w:spacing w:val="-2"/>
        </w:rPr>
        <w:t>Consumer Bankruptcy</w:t>
      </w:r>
    </w:p>
    <w:p>
      <w:pPr>
        <w:spacing w:line="247" w:lineRule="exact" w:before="0"/>
        <w:ind w:left="5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Mason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&amp;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Fields</w:t>
      </w:r>
      <w:r>
        <w:rPr>
          <w:i/>
          <w:spacing w:val="8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Law,</w:t>
      </w:r>
    </w:p>
    <w:p>
      <w:pPr>
        <w:spacing w:before="32"/>
        <w:ind w:left="51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Columbus,</w:t>
      </w:r>
      <w:r>
        <w:rPr>
          <w:i/>
          <w:spacing w:val="14"/>
          <w:w w:val="130"/>
          <w:sz w:val="22"/>
        </w:rPr>
        <w:t> </w:t>
      </w:r>
      <w:r>
        <w:rPr>
          <w:i/>
          <w:spacing w:val="-5"/>
          <w:w w:val="130"/>
          <w:sz w:val="22"/>
        </w:rPr>
        <w:t>OH</w:t>
      </w:r>
    </w:p>
    <w:p>
      <w:pPr>
        <w:spacing w:line="268" w:lineRule="auto" w:before="61"/>
        <w:ind w:left="51" w:right="385" w:firstLine="0"/>
        <w:jc w:val="left"/>
        <w:rPr>
          <w:i/>
          <w:sz w:val="22"/>
        </w:rPr>
      </w:pPr>
      <w:r>
        <w:rPr>
          <w:i/>
          <w:sz w:val="22"/>
        </w:rPr>
        <w:t>| </w:t>
      </w:r>
      <w:r>
        <w:rPr>
          <w:i/>
          <w:w w:val="125"/>
          <w:sz w:val="22"/>
        </w:rPr>
        <w:t>June 2016 -</w:t>
      </w:r>
      <w:r>
        <w:rPr>
          <w:i/>
          <w:w w:val="125"/>
          <w:sz w:val="22"/>
        </w:rPr>
        <w:t> </w:t>
      </w:r>
      <w:r>
        <w:rPr>
          <w:i/>
          <w:spacing w:val="-2"/>
          <w:w w:val="125"/>
          <w:sz w:val="22"/>
        </w:rPr>
        <w:t>January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spacing w:before="57"/>
        <w:rPr>
          <w:i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-149578</wp:posOffset>
                </wp:positionV>
                <wp:extent cx="7153275" cy="666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7822pt;width:563.249955pt;height:5.25pt;mso-position-horizontal-relative:page;mso-position-vertical-relative:paragraph;z-index:15730176" id="docshape27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pStyle w:val="Heading4"/>
        <w:spacing w:line="278" w:lineRule="auto" w:before="249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4"/>
        </w:rPr>
        <w:t> </w:t>
      </w:r>
      <w:r>
        <w:rPr>
          <w:rFonts w:ascii="Arial"/>
        </w:rPr>
        <w:t>of</w:t>
      </w:r>
      <w:r>
        <w:rPr>
          <w:rFonts w:ascii="Arial"/>
          <w:spacing w:val="-4"/>
        </w:rPr>
        <w:t> </w:t>
      </w:r>
      <w:r>
        <w:rPr>
          <w:rFonts w:ascii="Arial"/>
        </w:rPr>
        <w:t>Arts</w:t>
      </w:r>
      <w:r>
        <w:rPr>
          <w:rFonts w:ascii="Arial"/>
          <w:spacing w:val="-4"/>
        </w:rPr>
        <w:t> </w:t>
      </w:r>
      <w:r>
        <w:rPr>
          <w:rFonts w:ascii="Arial"/>
        </w:rPr>
        <w:t>in </w:t>
      </w:r>
      <w:r>
        <w:rPr>
          <w:rFonts w:ascii="Arial"/>
          <w:spacing w:val="-2"/>
          <w:w w:val="105"/>
        </w:rPr>
        <w:t>Business Administration</w:t>
      </w:r>
    </w:p>
    <w:p>
      <w:pPr>
        <w:pStyle w:val="BodyText"/>
        <w:tabs>
          <w:tab w:pos="423" w:val="left" w:leader="none"/>
        </w:tabs>
        <w:spacing w:line="268" w:lineRule="auto" w:before="200"/>
        <w:ind w:left="423" w:right="721" w:hanging="35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Prepared</w:t>
      </w:r>
      <w:r>
        <w:rPr>
          <w:spacing w:val="-6"/>
          <w:w w:val="125"/>
        </w:rPr>
        <w:t> </w:t>
      </w:r>
      <w:r>
        <w:rPr>
          <w:w w:val="125"/>
        </w:rPr>
        <w:t>over</w:t>
      </w:r>
      <w:r>
        <w:rPr>
          <w:spacing w:val="-6"/>
          <w:w w:val="125"/>
        </w:rPr>
        <w:t> </w:t>
      </w:r>
      <w:r>
        <w:rPr>
          <w:w w:val="125"/>
        </w:rPr>
        <w:t>400</w:t>
      </w:r>
      <w:r>
        <w:rPr>
          <w:spacing w:val="-6"/>
          <w:w w:val="125"/>
        </w:rPr>
        <w:t> </w:t>
      </w:r>
      <w:r>
        <w:rPr>
          <w:w w:val="125"/>
        </w:rPr>
        <w:t>bankruptcy</w:t>
      </w:r>
      <w:r>
        <w:rPr>
          <w:spacing w:val="-6"/>
          <w:w w:val="125"/>
        </w:rPr>
        <w:t> </w:t>
      </w:r>
      <w:r>
        <w:rPr>
          <w:w w:val="125"/>
        </w:rPr>
        <w:t>petitions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98%</w:t>
      </w:r>
      <w:r>
        <w:rPr>
          <w:spacing w:val="-6"/>
          <w:w w:val="125"/>
        </w:rPr>
        <w:t> </w:t>
      </w:r>
      <w:r>
        <w:rPr>
          <w:w w:val="125"/>
        </w:rPr>
        <w:t>accuracy</w:t>
      </w:r>
      <w:r>
        <w:rPr>
          <w:spacing w:val="-6"/>
          <w:w w:val="125"/>
        </w:rPr>
        <w:t> </w:t>
      </w:r>
      <w:r>
        <w:rPr>
          <w:w w:val="125"/>
        </w:rPr>
        <w:t>on</w:t>
      </w:r>
      <w:r>
        <w:rPr>
          <w:spacing w:val="-6"/>
          <w:w w:val="125"/>
        </w:rPr>
        <w:t> </w:t>
      </w:r>
      <w:r>
        <w:rPr>
          <w:w w:val="125"/>
        </w:rPr>
        <w:t>initial </w:t>
      </w:r>
      <w:r>
        <w:rPr>
          <w:spacing w:val="-2"/>
          <w:w w:val="125"/>
        </w:rPr>
        <w:t>filings</w:t>
      </w:r>
    </w:p>
    <w:p>
      <w:pPr>
        <w:pStyle w:val="BodyText"/>
        <w:tabs>
          <w:tab w:pos="423" w:val="left" w:leader="none"/>
        </w:tabs>
        <w:spacing w:line="254" w:lineRule="auto" w:before="89"/>
        <w:ind w:left="423" w:right="100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Filed</w:t>
      </w:r>
      <w:r>
        <w:rPr>
          <w:spacing w:val="-1"/>
          <w:w w:val="125"/>
        </w:rPr>
        <w:t> </w:t>
      </w:r>
      <w:r>
        <w:rPr>
          <w:w w:val="125"/>
        </w:rPr>
        <w:t>motions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responses</w:t>
      </w:r>
      <w:r>
        <w:rPr>
          <w:spacing w:val="-1"/>
          <w:w w:val="125"/>
        </w:rPr>
        <w:t> </w:t>
      </w:r>
      <w:r>
        <w:rPr>
          <w:w w:val="125"/>
        </w:rPr>
        <w:t>through</w:t>
      </w:r>
      <w:r>
        <w:rPr>
          <w:spacing w:val="-1"/>
          <w:w w:val="125"/>
        </w:rPr>
        <w:t> </w:t>
      </w:r>
      <w:r>
        <w:rPr>
          <w:w w:val="125"/>
        </w:rPr>
        <w:t>the</w:t>
      </w:r>
      <w:r>
        <w:rPr>
          <w:spacing w:val="-1"/>
          <w:w w:val="125"/>
        </w:rPr>
        <w:t> </w:t>
      </w:r>
      <w:r>
        <w:rPr>
          <w:w w:val="125"/>
        </w:rPr>
        <w:t>ECF</w:t>
      </w:r>
      <w:r>
        <w:rPr>
          <w:spacing w:val="-1"/>
          <w:w w:val="125"/>
        </w:rPr>
        <w:t> </w:t>
      </w:r>
      <w:r>
        <w:rPr>
          <w:w w:val="125"/>
        </w:rPr>
        <w:t>system</w:t>
      </w:r>
      <w:r>
        <w:rPr>
          <w:spacing w:val="-1"/>
          <w:w w:val="125"/>
        </w:rPr>
        <w:t> </w:t>
      </w:r>
      <w:r>
        <w:rPr>
          <w:w w:val="125"/>
        </w:rPr>
        <w:t>across</w:t>
      </w:r>
      <w:r>
        <w:rPr>
          <w:spacing w:val="-1"/>
          <w:w w:val="125"/>
        </w:rPr>
        <w:t> </w:t>
      </w:r>
      <w:r>
        <w:rPr>
          <w:w w:val="125"/>
        </w:rPr>
        <w:t>three</w:t>
      </w:r>
      <w:r>
        <w:rPr>
          <w:spacing w:val="-1"/>
          <w:w w:val="125"/>
        </w:rPr>
        <w:t> </w:t>
      </w:r>
      <w:r>
        <w:rPr>
          <w:w w:val="125"/>
        </w:rPr>
        <w:t>federal </w:t>
      </w:r>
      <w:r>
        <w:rPr>
          <w:spacing w:val="-2"/>
          <w:w w:val="125"/>
        </w:rPr>
        <w:t>districts</w:t>
      </w:r>
    </w:p>
    <w:p>
      <w:pPr>
        <w:pStyle w:val="BodyText"/>
        <w:tabs>
          <w:tab w:pos="423" w:val="left" w:leader="none"/>
        </w:tabs>
        <w:spacing w:line="268" w:lineRule="auto" w:before="105"/>
        <w:ind w:left="423" w:right="744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5"/>
          <w:w w:val="125"/>
        </w:rPr>
        <w:t> </w:t>
      </w:r>
      <w:r>
        <w:rPr>
          <w:w w:val="125"/>
        </w:rPr>
        <w:t>intake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financial</w:t>
      </w:r>
      <w:r>
        <w:rPr>
          <w:spacing w:val="-5"/>
          <w:w w:val="125"/>
        </w:rPr>
        <w:t> </w:t>
      </w:r>
      <w:r>
        <w:rPr>
          <w:w w:val="125"/>
        </w:rPr>
        <w:t>documentation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more</w:t>
      </w:r>
      <w:r>
        <w:rPr>
          <w:spacing w:val="-5"/>
          <w:w w:val="125"/>
        </w:rPr>
        <w:t> </w:t>
      </w:r>
      <w:r>
        <w:rPr>
          <w:w w:val="125"/>
        </w:rPr>
        <w:t>than</w:t>
      </w:r>
      <w:r>
        <w:rPr>
          <w:spacing w:val="-5"/>
          <w:w w:val="125"/>
        </w:rPr>
        <w:t> </w:t>
      </w:r>
      <w:r>
        <w:rPr>
          <w:w w:val="125"/>
        </w:rPr>
        <w:t>25</w:t>
      </w:r>
      <w:r>
        <w:rPr>
          <w:spacing w:val="-5"/>
          <w:w w:val="125"/>
        </w:rPr>
        <w:t> </w:t>
      </w:r>
      <w:r>
        <w:rPr>
          <w:w w:val="125"/>
        </w:rPr>
        <w:t>new clients monthly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tabs>
          <w:tab w:pos="423" w:val="left" w:leader="none"/>
        </w:tabs>
        <w:spacing w:before="1"/>
        <w:ind w:left="6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11"/>
          <w:w w:val="125"/>
        </w:rPr>
        <w:t> </w:t>
      </w:r>
      <w:r>
        <w:rPr>
          <w:w w:val="125"/>
        </w:rPr>
        <w:t>case</w:t>
      </w:r>
      <w:r>
        <w:rPr>
          <w:spacing w:val="-11"/>
          <w:w w:val="125"/>
        </w:rPr>
        <w:t> </w:t>
      </w:r>
      <w:r>
        <w:rPr>
          <w:w w:val="125"/>
        </w:rPr>
        <w:t>prep</w:t>
      </w:r>
      <w:r>
        <w:rPr>
          <w:spacing w:val="-11"/>
          <w:w w:val="125"/>
        </w:rPr>
        <w:t> </w:t>
      </w:r>
      <w:r>
        <w:rPr>
          <w:w w:val="125"/>
        </w:rPr>
        <w:t>for</w:t>
      </w:r>
      <w:r>
        <w:rPr>
          <w:spacing w:val="-11"/>
          <w:w w:val="125"/>
        </w:rPr>
        <w:t> </w:t>
      </w:r>
      <w:r>
        <w:rPr>
          <w:w w:val="125"/>
        </w:rPr>
        <w:t>court</w:t>
      </w:r>
      <w:r>
        <w:rPr>
          <w:spacing w:val="-11"/>
          <w:w w:val="125"/>
        </w:rPr>
        <w:t> </w:t>
      </w:r>
      <w:r>
        <w:rPr>
          <w:w w:val="125"/>
        </w:rPr>
        <w:t>hearings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creditor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meetings</w:t>
      </w:r>
    </w:p>
    <w:p>
      <w:pPr>
        <w:pStyle w:val="BodyText"/>
        <w:tabs>
          <w:tab w:pos="423" w:val="left" w:leader="none"/>
        </w:tabs>
        <w:spacing w:line="268" w:lineRule="auto" w:before="121"/>
        <w:ind w:left="423" w:right="542" w:hanging="356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Reduced document processing time by 30% by creating standardized intake templates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BodyText"/>
        <w:ind w:left="51"/>
      </w:pPr>
      <w:r>
        <w:rPr>
          <w:w w:val="110"/>
        </w:rPr>
        <w:t>Ohio</w:t>
      </w:r>
      <w:r>
        <w:rPr>
          <w:spacing w:val="41"/>
          <w:w w:val="110"/>
        </w:rPr>
        <w:t> </w:t>
      </w:r>
      <w:r>
        <w:rPr>
          <w:w w:val="110"/>
        </w:rPr>
        <w:t>University</w:t>
      </w:r>
      <w:r>
        <w:rPr>
          <w:spacing w:val="42"/>
          <w:w w:val="110"/>
        </w:rPr>
        <w:t> </w:t>
      </w:r>
      <w:r>
        <w:rPr/>
        <w:t>|</w:t>
      </w:r>
      <w:r>
        <w:rPr>
          <w:spacing w:val="42"/>
          <w:w w:val="110"/>
        </w:rPr>
        <w:t> </w:t>
      </w:r>
      <w:r>
        <w:rPr>
          <w:w w:val="110"/>
        </w:rPr>
        <w:t>May</w:t>
      </w:r>
      <w:r>
        <w:rPr>
          <w:spacing w:val="41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740" w:bottom="280" w:left="283" w:right="283"/>
      <w:cols w:num="2" w:equalWidth="0">
        <w:col w:w="2314" w:space="290"/>
        <w:col w:w="87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9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hyperlink" Target="http://www.example.com/p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2025-12-29T16:16:28Z</dcterms:created>
  <dcterms:modified xsi:type="dcterms:W3CDTF">2025-12-29T16:16:28Z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