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8"/>
        <w:rPr>
          <w:rFonts w:ascii="Times New Roman"/>
          <w:sz w:val="33"/>
        </w:rPr>
      </w:pPr>
    </w:p>
    <w:p>
      <w:pPr>
        <w:pStyle w:val="Heading2"/>
        <w:spacing w:line="296" w:lineRule="exact"/>
        <w:ind w:left="4069"/>
      </w:pPr>
      <w:r>
        <w:rPr>
          <w:color w:val="0F2973"/>
          <w:w w:val="125"/>
        </w:rPr>
        <w:t>Professional</w:t>
      </w:r>
      <w:r>
        <w:rPr>
          <w:color w:val="0F2973"/>
          <w:spacing w:val="31"/>
          <w:w w:val="130"/>
        </w:rPr>
        <w:t> </w:t>
      </w:r>
      <w:r>
        <w:rPr>
          <w:color w:val="0F2973"/>
          <w:spacing w:val="-2"/>
          <w:w w:val="130"/>
        </w:rPr>
        <w:t>Experience</w:t>
      </w:r>
    </w:p>
    <w:p>
      <w:pPr>
        <w:pStyle w:val="Heading2"/>
        <w:spacing w:after="0" w:line="296" w:lineRule="exact"/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71"/>
        <w:rPr>
          <w:rFonts w:ascii="Calibri"/>
          <w:b/>
        </w:rPr>
      </w:pPr>
    </w:p>
    <w:p>
      <w:pPr>
        <w:pStyle w:val="BodyText"/>
        <w:spacing w:line="207" w:lineRule="exact"/>
        <w:ind w:left="51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Heading1"/>
        <w:spacing w:line="244" w:lineRule="auto"/>
      </w:pPr>
      <w:r>
        <w:rPr>
          <w:b w:val="0"/>
        </w:rPr>
        <w:br w:type="column"/>
      </w:r>
      <w:r>
        <w:rPr>
          <w:color w:val="FFFFFF"/>
          <w:spacing w:val="-2"/>
          <w:w w:val="125"/>
        </w:rPr>
        <w:t>Avery Harris</w:t>
      </w:r>
    </w:p>
    <w:p>
      <w:pPr>
        <w:pStyle w:val="Heading2"/>
        <w:spacing w:line="264" w:lineRule="auto" w:before="117"/>
        <w:ind w:right="38"/>
      </w:pPr>
      <w:r>
        <w:rPr>
          <w:color w:val="FFFFFF"/>
          <w:spacing w:val="-2"/>
          <w:w w:val="125"/>
        </w:rPr>
        <w:t>International Trade</w:t>
      </w:r>
      <w:r>
        <w:rPr>
          <w:color w:val="FFFFFF"/>
          <w:spacing w:val="40"/>
          <w:w w:val="125"/>
        </w:rPr>
        <w:t> </w:t>
      </w:r>
      <w:r>
        <w:rPr>
          <w:color w:val="FFFFFF"/>
          <w:spacing w:val="-2"/>
          <w:w w:val="125"/>
        </w:rPr>
        <w:t>Lawyer</w:t>
      </w:r>
    </w:p>
    <w:p>
      <w:pPr>
        <w:pStyle w:val="BodyText"/>
        <w:spacing w:before="98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spacing w:line="268" w:lineRule="auto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2018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Present</w:t>
      </w:r>
    </w:p>
    <w:p>
      <w:pPr>
        <w:pStyle w:val="BodyText"/>
        <w:spacing w:before="93"/>
        <w:rPr>
          <w:i/>
        </w:rPr>
      </w:pPr>
      <w:r>
        <w:rPr/>
        <w:br w:type="column"/>
      </w:r>
      <w:r>
        <w:rPr>
          <w:i/>
        </w:rPr>
      </w:r>
    </w:p>
    <w:p>
      <w:pPr>
        <w:pStyle w:val="Heading3"/>
        <w:spacing w:before="1"/>
        <w:rPr>
          <w:rFonts w:ascii="Calibri"/>
        </w:rPr>
      </w:pPr>
      <w:r>
        <w:rPr>
          <w:rFonts w:ascii="Calibri"/>
          <w:color w:val="58585B"/>
          <w:w w:val="125"/>
        </w:rPr>
        <w:t>Senior</w:t>
      </w:r>
      <w:r>
        <w:rPr>
          <w:rFonts w:ascii="Calibri"/>
          <w:color w:val="58585B"/>
          <w:spacing w:val="3"/>
          <w:w w:val="125"/>
        </w:rPr>
        <w:t> </w:t>
      </w:r>
      <w:r>
        <w:rPr>
          <w:rFonts w:ascii="Calibri"/>
          <w:color w:val="58585B"/>
          <w:w w:val="125"/>
        </w:rPr>
        <w:t>Trade</w:t>
      </w:r>
      <w:r>
        <w:rPr>
          <w:rFonts w:ascii="Calibri"/>
          <w:color w:val="58585B"/>
          <w:spacing w:val="3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Counsel</w:t>
      </w:r>
    </w:p>
    <w:p>
      <w:pPr>
        <w:spacing w:before="94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Bayside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Global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Logistics,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Washington,</w:t>
      </w:r>
      <w:r>
        <w:rPr>
          <w:i/>
          <w:color w:val="58585B"/>
          <w:spacing w:val="-4"/>
          <w:sz w:val="22"/>
        </w:rPr>
        <w:t> D.C.</w:t>
      </w:r>
    </w:p>
    <w:p>
      <w:pPr>
        <w:pStyle w:val="BodyText"/>
        <w:tabs>
          <w:tab w:pos="423" w:val="left" w:leader="none"/>
        </w:tabs>
        <w:spacing w:line="280" w:lineRule="auto" w:before="135"/>
        <w:ind w:left="423" w:right="489" w:hanging="35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Draft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compliance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programs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Fortune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500 companies and conduct global regulatory </w:t>
      </w:r>
      <w:r>
        <w:rPr>
          <w:color w:val="58585B"/>
          <w:spacing w:val="-2"/>
          <w:w w:val="105"/>
        </w:rPr>
        <w:t>audits</w:t>
      </w:r>
    </w:p>
    <w:p>
      <w:pPr>
        <w:pStyle w:val="BodyText"/>
        <w:tabs>
          <w:tab w:pos="423" w:val="left" w:leader="none"/>
        </w:tabs>
        <w:spacing w:line="280" w:lineRule="auto" w:before="93"/>
        <w:ind w:left="423" w:right="4" w:hanging="35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Advise</w:t>
      </w:r>
      <w:r>
        <w:rPr>
          <w:color w:val="58585B"/>
          <w:spacing w:val="38"/>
        </w:rPr>
        <w:t> </w:t>
      </w:r>
      <w:r>
        <w:rPr>
          <w:color w:val="58585B"/>
        </w:rPr>
        <w:t>on</w:t>
      </w:r>
      <w:r>
        <w:rPr>
          <w:color w:val="58585B"/>
          <w:spacing w:val="38"/>
        </w:rPr>
        <w:t> </w:t>
      </w:r>
      <w:r>
        <w:rPr>
          <w:color w:val="58585B"/>
        </w:rPr>
        <w:t>U.S.</w:t>
      </w:r>
      <w:r>
        <w:rPr>
          <w:color w:val="58585B"/>
          <w:spacing w:val="38"/>
        </w:rPr>
        <w:t> </w:t>
      </w:r>
      <w:r>
        <w:rPr>
          <w:color w:val="58585B"/>
        </w:rPr>
        <w:t>sanctions</w:t>
      </w:r>
      <w:r>
        <w:rPr>
          <w:color w:val="58585B"/>
          <w:spacing w:val="38"/>
        </w:rPr>
        <w:t> </w:t>
      </w:r>
      <w:r>
        <w:rPr>
          <w:color w:val="58585B"/>
        </w:rPr>
        <w:t>policy,</w:t>
      </w:r>
      <w:r>
        <w:rPr>
          <w:color w:val="58585B"/>
          <w:spacing w:val="38"/>
        </w:rPr>
        <w:t> </w:t>
      </w:r>
      <w:r>
        <w:rPr>
          <w:color w:val="58585B"/>
        </w:rPr>
        <w:t>minimizing client</w:t>
      </w:r>
      <w:r>
        <w:rPr>
          <w:color w:val="58585B"/>
          <w:spacing w:val="36"/>
        </w:rPr>
        <w:t> </w:t>
      </w:r>
      <w:r>
        <w:rPr>
          <w:color w:val="58585B"/>
        </w:rPr>
        <w:t>exposure</w:t>
      </w:r>
      <w:r>
        <w:rPr>
          <w:color w:val="58585B"/>
          <w:spacing w:val="36"/>
        </w:rPr>
        <w:t> </w:t>
      </w:r>
      <w:r>
        <w:rPr>
          <w:color w:val="58585B"/>
        </w:rPr>
        <w:t>during</w:t>
      </w:r>
      <w:r>
        <w:rPr>
          <w:color w:val="58585B"/>
          <w:spacing w:val="36"/>
        </w:rPr>
        <w:t> </w:t>
      </w:r>
      <w:r>
        <w:rPr>
          <w:color w:val="58585B"/>
        </w:rPr>
        <w:t>cross-border acquisitions</w:t>
      </w:r>
    </w:p>
    <w:p>
      <w:pPr>
        <w:pStyle w:val="BodyText"/>
        <w:tabs>
          <w:tab w:pos="423" w:val="left" w:leader="none"/>
        </w:tabs>
        <w:spacing w:before="92"/>
        <w:ind w:left="7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Represent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clients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before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U.S.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Customs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5"/>
          <w:w w:val="105"/>
        </w:rPr>
        <w:t>and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425"/>
          <w:cols w:num="4" w:equalWidth="0">
            <w:col w:w="811" w:space="491"/>
            <w:col w:w="2329" w:space="386"/>
            <w:col w:w="1171" w:space="636"/>
            <w:col w:w="5388"/>
          </w:cols>
        </w:sectPr>
      </w:pPr>
    </w:p>
    <w:p>
      <w:pPr>
        <w:pStyle w:val="BodyText"/>
        <w:spacing w:before="79"/>
        <w:ind w:left="51"/>
      </w:pPr>
      <w:hyperlink r:id="rId8">
        <w:r>
          <w:rPr>
            <w:color w:val="FFFFFF"/>
            <w:spacing w:val="-2"/>
          </w:rPr>
          <w:t>avery.harris@email.com</w:t>
        </w:r>
      </w:hyperlink>
    </w:p>
    <w:p>
      <w:pPr>
        <w:pStyle w:val="BodyText"/>
      </w:pPr>
    </w:p>
    <w:p>
      <w:pPr>
        <w:pStyle w:val="BodyText"/>
        <w:spacing w:before="163"/>
      </w:pPr>
    </w:p>
    <w:p>
      <w:pPr>
        <w:pStyle w:val="Heading3"/>
        <w:spacing w:line="280" w:lineRule="auto"/>
      </w:pPr>
      <w:r>
        <w:rPr>
          <w:color w:val="FFFFFF"/>
          <w:w w:val="105"/>
        </w:rPr>
        <w:t>International trade attorney advising on global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compliance and customs regulations</w:t>
      </w:r>
    </w:p>
    <w:p>
      <w:pPr>
        <w:pStyle w:val="BodyText"/>
        <w:spacing w:line="300" w:lineRule="atLeast" w:before="24"/>
        <w:ind w:left="51" w:right="11"/>
      </w:pPr>
      <w:r>
        <w:rPr>
          <w:color w:val="FFFFFF"/>
        </w:rPr>
        <w:t>Trade lawyer with 9 years of experience advising multinational corporations on import/export</w:t>
      </w:r>
      <w:r>
        <w:rPr>
          <w:color w:val="FFFFFF"/>
          <w:spacing w:val="-17"/>
        </w:rPr>
        <w:t> </w:t>
      </w:r>
      <w:r>
        <w:rPr>
          <w:color w:val="FFFFFF"/>
        </w:rPr>
        <w:t>law,</w:t>
      </w:r>
      <w:r>
        <w:rPr>
          <w:color w:val="FFFFFF"/>
          <w:spacing w:val="-17"/>
        </w:rPr>
        <w:t> </w:t>
      </w:r>
      <w:r>
        <w:rPr>
          <w:color w:val="FFFFFF"/>
        </w:rPr>
        <w:t>international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93"/>
      </w:pPr>
    </w:p>
    <w:p>
      <w:pPr>
        <w:spacing w:line="280" w:lineRule="auto" w:before="0"/>
        <w:ind w:left="51" w:right="291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September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March</w:t>
      </w:r>
    </w:p>
    <w:p>
      <w:pPr>
        <w:spacing w:line="243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50"/>
        <w:rPr>
          <w:i/>
        </w:rPr>
      </w:pPr>
    </w:p>
    <w:p>
      <w:pPr>
        <w:pStyle w:val="Heading2"/>
      </w:pPr>
      <w:r>
        <w:rPr>
          <w:color w:val="0F2973"/>
          <w:spacing w:val="-2"/>
          <w:w w:val="130"/>
        </w:rPr>
        <w:t>Education</w:t>
      </w:r>
    </w:p>
    <w:p>
      <w:pPr>
        <w:pStyle w:val="BodyText"/>
        <w:spacing w:before="4"/>
        <w:ind w:left="353"/>
      </w:pPr>
      <w:r>
        <w:rPr/>
        <w:br w:type="column"/>
      </w:r>
      <w:r>
        <w:rPr>
          <w:color w:val="58585B"/>
        </w:rPr>
        <w:t>Border</w:t>
      </w:r>
      <w:r>
        <w:rPr>
          <w:color w:val="58585B"/>
          <w:spacing w:val="8"/>
        </w:rPr>
        <w:t> </w:t>
      </w:r>
      <w:r>
        <w:rPr>
          <w:color w:val="58585B"/>
        </w:rPr>
        <w:t>Protection</w:t>
      </w:r>
      <w:r>
        <w:rPr>
          <w:color w:val="58585B"/>
          <w:spacing w:val="17"/>
        </w:rPr>
        <w:t> </w:t>
      </w:r>
      <w:r>
        <w:rPr>
          <w:color w:val="58585B"/>
        </w:rPr>
        <w:t>in</w:t>
      </w:r>
      <w:r>
        <w:rPr>
          <w:color w:val="58585B"/>
          <w:spacing w:val="16"/>
        </w:rPr>
        <w:t> </w:t>
      </w:r>
      <w:r>
        <w:rPr>
          <w:color w:val="58585B"/>
        </w:rPr>
        <w:t>enforcement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proceedings</w:t>
      </w:r>
    </w:p>
    <w:p>
      <w:pPr>
        <w:pStyle w:val="BodyText"/>
        <w:spacing w:before="71"/>
      </w:pPr>
    </w:p>
    <w:p>
      <w:pPr>
        <w:pStyle w:val="Heading3"/>
        <w:ind w:left="0"/>
        <w:rPr>
          <w:rFonts w:ascii="Calibri"/>
        </w:rPr>
      </w:pPr>
      <w:r>
        <w:rPr>
          <w:rFonts w:ascii="Calibri"/>
          <w:color w:val="58585B"/>
          <w:spacing w:val="-2"/>
          <w:w w:val="130"/>
        </w:rPr>
        <w:t>Trade</w:t>
      </w:r>
      <w:r>
        <w:rPr>
          <w:rFonts w:ascii="Calibri"/>
          <w:color w:val="58585B"/>
          <w:spacing w:val="-9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Compliance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Associate</w:t>
      </w:r>
    </w:p>
    <w:p>
      <w:pPr>
        <w:spacing w:before="94"/>
        <w:ind w:left="0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LexPort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Legal</w:t>
      </w:r>
      <w:r>
        <w:rPr>
          <w:i/>
          <w:color w:val="58585B"/>
          <w:spacing w:val="-23"/>
          <w:sz w:val="22"/>
        </w:rPr>
        <w:t> </w:t>
      </w:r>
      <w:r>
        <w:rPr>
          <w:i/>
          <w:color w:val="58585B"/>
          <w:sz w:val="22"/>
        </w:rPr>
        <w:t>Advisors,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z w:val="22"/>
        </w:rPr>
        <w:t>Washington,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D.C.</w:t>
      </w:r>
    </w:p>
    <w:p>
      <w:pPr>
        <w:pStyle w:val="BodyText"/>
        <w:tabs>
          <w:tab w:pos="372" w:val="left" w:leader="none"/>
        </w:tabs>
        <w:spacing w:line="280" w:lineRule="auto" w:before="135"/>
        <w:ind w:left="372" w:right="68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Researched international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law treaties and updated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clients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changes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WTO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trade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rules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0" w:left="283" w:right="425"/>
          <w:cols w:num="3" w:equalWidth="0">
            <w:col w:w="3317" w:space="700"/>
            <w:col w:w="1838" w:space="40"/>
            <w:col w:w="5317"/>
          </w:cols>
        </w:sectPr>
      </w:pPr>
    </w:p>
    <w:p>
      <w:pPr>
        <w:pStyle w:val="BodyText"/>
        <w:spacing w:line="276" w:lineRule="auto" w:before="85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5638799"/>
                            <a:ext cx="2552700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876425">
                                <a:moveTo>
                                  <a:pt x="0" y="1876424"/>
                                </a:moveTo>
                                <a:lnTo>
                                  <a:pt x="2552699" y="187642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23849"/>
                            <a:ext cx="2552700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705100">
                                <a:moveTo>
                                  <a:pt x="2552699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019424"/>
                            <a:ext cx="2552700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62450">
                                <a:moveTo>
                                  <a:pt x="276212" y="4335297"/>
                                </a:moveTo>
                                <a:lnTo>
                                  <a:pt x="255752" y="4314825"/>
                                </a:lnTo>
                                <a:lnTo>
                                  <a:pt x="249059" y="4314825"/>
                                </a:lnTo>
                                <a:lnTo>
                                  <a:pt x="228587" y="4335297"/>
                                </a:lnTo>
                                <a:lnTo>
                                  <a:pt x="228587" y="4338866"/>
                                </a:lnTo>
                                <a:lnTo>
                                  <a:pt x="228587" y="4341990"/>
                                </a:lnTo>
                                <a:lnTo>
                                  <a:pt x="249059" y="4362450"/>
                                </a:lnTo>
                                <a:lnTo>
                                  <a:pt x="255752" y="4362450"/>
                                </a:lnTo>
                                <a:lnTo>
                                  <a:pt x="276212" y="4341990"/>
                                </a:lnTo>
                                <a:lnTo>
                                  <a:pt x="276212" y="4335297"/>
                                </a:lnTo>
                                <a:close/>
                              </a:path>
                              <a:path w="2552700" h="4362450">
                                <a:moveTo>
                                  <a:pt x="276212" y="4087647"/>
                                </a:moveTo>
                                <a:lnTo>
                                  <a:pt x="255752" y="4067175"/>
                                </a:lnTo>
                                <a:lnTo>
                                  <a:pt x="249059" y="4067175"/>
                                </a:lnTo>
                                <a:lnTo>
                                  <a:pt x="228587" y="4087647"/>
                                </a:lnTo>
                                <a:lnTo>
                                  <a:pt x="228587" y="4091216"/>
                                </a:lnTo>
                                <a:lnTo>
                                  <a:pt x="228587" y="4094340"/>
                                </a:lnTo>
                                <a:lnTo>
                                  <a:pt x="249059" y="4114800"/>
                                </a:lnTo>
                                <a:lnTo>
                                  <a:pt x="255752" y="4114800"/>
                                </a:lnTo>
                                <a:lnTo>
                                  <a:pt x="276212" y="4094340"/>
                                </a:lnTo>
                                <a:lnTo>
                                  <a:pt x="276212" y="4087647"/>
                                </a:lnTo>
                                <a:close/>
                              </a:path>
                              <a:path w="2552700" h="4362450">
                                <a:moveTo>
                                  <a:pt x="276212" y="3839997"/>
                                </a:moveTo>
                                <a:lnTo>
                                  <a:pt x="255752" y="3819525"/>
                                </a:lnTo>
                                <a:lnTo>
                                  <a:pt x="249059" y="3819525"/>
                                </a:lnTo>
                                <a:lnTo>
                                  <a:pt x="228587" y="3839997"/>
                                </a:lnTo>
                                <a:lnTo>
                                  <a:pt x="228587" y="3843566"/>
                                </a:lnTo>
                                <a:lnTo>
                                  <a:pt x="228587" y="3846690"/>
                                </a:lnTo>
                                <a:lnTo>
                                  <a:pt x="249059" y="3867150"/>
                                </a:lnTo>
                                <a:lnTo>
                                  <a:pt x="255752" y="3867150"/>
                                </a:lnTo>
                                <a:lnTo>
                                  <a:pt x="276212" y="3846690"/>
                                </a:lnTo>
                                <a:lnTo>
                                  <a:pt x="276212" y="3839997"/>
                                </a:lnTo>
                                <a:close/>
                              </a:path>
                              <a:path w="2552700" h="4362450">
                                <a:moveTo>
                                  <a:pt x="276212" y="3592347"/>
                                </a:moveTo>
                                <a:lnTo>
                                  <a:pt x="255752" y="3571875"/>
                                </a:lnTo>
                                <a:lnTo>
                                  <a:pt x="249059" y="3571875"/>
                                </a:lnTo>
                                <a:lnTo>
                                  <a:pt x="228587" y="3592347"/>
                                </a:lnTo>
                                <a:lnTo>
                                  <a:pt x="228587" y="3595916"/>
                                </a:lnTo>
                                <a:lnTo>
                                  <a:pt x="228587" y="3599040"/>
                                </a:lnTo>
                                <a:lnTo>
                                  <a:pt x="249059" y="3619500"/>
                                </a:lnTo>
                                <a:lnTo>
                                  <a:pt x="255752" y="3619500"/>
                                </a:lnTo>
                                <a:lnTo>
                                  <a:pt x="276212" y="3599040"/>
                                </a:lnTo>
                                <a:lnTo>
                                  <a:pt x="276212" y="3592347"/>
                                </a:lnTo>
                                <a:close/>
                              </a:path>
                              <a:path w="2552700" h="4362450">
                                <a:moveTo>
                                  <a:pt x="276212" y="3344697"/>
                                </a:moveTo>
                                <a:lnTo>
                                  <a:pt x="255752" y="3324225"/>
                                </a:lnTo>
                                <a:lnTo>
                                  <a:pt x="249059" y="3324225"/>
                                </a:lnTo>
                                <a:lnTo>
                                  <a:pt x="228587" y="3344697"/>
                                </a:lnTo>
                                <a:lnTo>
                                  <a:pt x="228587" y="3348266"/>
                                </a:lnTo>
                                <a:lnTo>
                                  <a:pt x="228587" y="3351390"/>
                                </a:lnTo>
                                <a:lnTo>
                                  <a:pt x="249059" y="3371850"/>
                                </a:lnTo>
                                <a:lnTo>
                                  <a:pt x="255752" y="3371850"/>
                                </a:lnTo>
                                <a:lnTo>
                                  <a:pt x="276212" y="3351390"/>
                                </a:lnTo>
                                <a:lnTo>
                                  <a:pt x="276212" y="3344697"/>
                                </a:lnTo>
                                <a:close/>
                              </a:path>
                              <a:path w="2552700" h="436245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9375"/>
                                </a:lnTo>
                                <a:lnTo>
                                  <a:pt x="2552687" y="2619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1888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0f2973" stroked="false">
                  <v:fill type="solid"/>
                </v:rect>
                <v:rect style="position:absolute;left:0;top:8880;width:4020;height:2955" id="docshape4" filled="true" fillcolor="#f1f4f4" stroked="false">
                  <v:fill type="solid"/>
                </v:rect>
                <v:rect style="position:absolute;left:0;top:510;width:4020;height:4260" id="docshape5" filled="true" fillcolor="#0f2973" stroked="false">
                  <v:fill type="solid"/>
                </v:rect>
                <v:shape style="position:absolute;left:330;top:1065;width:1005;height:1005" type="#_x0000_t75" id="docshape6" stroked="false">
                  <v:imagedata r:id="rId9" o:title=""/>
                </v:shape>
                <v:shape style="position:absolute;left:0;top:4755;width:4020;height:6870" id="docshape7" coordorigin="0,4755" coordsize="4020,6870" path="m435,11582l434,11577,430,11568,428,11564,421,11557,417,11555,408,11551,403,11550,392,11550,387,11551,378,11555,374,11557,367,11564,365,11568,361,11577,360,11582,360,11588,360,11593,361,11598,365,11607,367,11611,374,11618,378,11620,387,11624,392,11625,403,11625,408,11624,417,11620,421,11618,428,11611,430,11607,434,11598,435,11593,435,11582xm435,11192l434,11187,430,11178,428,11174,421,11167,417,11165,408,11161,403,11160,392,11160,387,11161,378,11165,374,11167,367,11174,365,11178,361,11187,360,11192,360,11198,360,11203,361,11208,365,11217,367,11221,374,11228,378,11230,387,11234,392,11235,403,11235,408,11234,417,11230,421,11228,428,11221,430,11217,434,11208,435,11203,435,11192xm435,10802l434,10797,430,10788,428,10784,421,10777,417,10775,408,10771,403,10770,392,10770,387,10771,378,10775,374,10777,367,10784,365,10788,361,10797,360,10802,360,10808,360,10813,361,10818,365,10827,367,10831,374,10838,378,10840,387,10844,392,10845,403,10845,408,10844,417,10840,421,10838,428,10831,430,10827,434,10818,435,10813,435,10802xm435,10412l434,10407,430,10398,428,10394,421,10387,417,10385,408,10381,403,10380,392,10380,387,10381,378,10385,374,10387,367,10394,365,10398,361,10407,360,10412,360,10418,360,10423,361,10428,365,10437,367,10441,374,10448,378,10450,387,10454,392,10455,403,10455,408,10454,417,10450,421,10448,428,10441,430,10437,434,10428,435,10423,435,10412xm435,10022l434,10017,430,10008,428,10004,421,9997,417,9995,408,9991,403,9990,392,9990,387,9991,378,9995,374,9997,367,10004,365,10008,361,10017,360,10022,360,10028,360,10033,361,10038,365,10047,367,10051,374,10058,378,10060,387,10064,392,10065,403,10065,408,10064,417,10060,421,10058,428,10051,430,10047,434,10038,435,10033,435,10022xm4020,4755l0,4755,0,8880,4020,8880,4020,4755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arbitration, and customs enforcement.</w:t>
      </w:r>
      <w:r>
        <w:rPr>
          <w:color w:val="FFFFFF"/>
          <w:spacing w:val="-8"/>
        </w:rPr>
        <w:t> </w:t>
      </w:r>
      <w:r>
        <w:rPr>
          <w:color w:val="FFFFFF"/>
        </w:rPr>
        <w:t>Expert</w:t>
      </w:r>
      <w:r>
        <w:rPr>
          <w:color w:val="FFFFFF"/>
          <w:spacing w:val="-8"/>
        </w:rPr>
        <w:t> </w:t>
      </w:r>
      <w:r>
        <w:rPr>
          <w:color w:val="FFFFFF"/>
        </w:rPr>
        <w:t>in</w:t>
      </w:r>
      <w:r>
        <w:rPr>
          <w:color w:val="FFFFFF"/>
          <w:spacing w:val="-8"/>
        </w:rPr>
        <w:t> </w:t>
      </w:r>
      <w:r>
        <w:rPr>
          <w:color w:val="FFFFFF"/>
        </w:rPr>
        <w:t>ITAR, EAR, and trade sanctions </w:t>
      </w:r>
      <w:r>
        <w:rPr>
          <w:color w:val="FFFFFF"/>
          <w:spacing w:val="-2"/>
        </w:rPr>
        <w:t>compliance.</w:t>
      </w:r>
    </w:p>
    <w:p>
      <w:pPr>
        <w:pStyle w:val="BodyText"/>
      </w:pPr>
    </w:p>
    <w:p>
      <w:pPr>
        <w:pStyle w:val="BodyText"/>
        <w:spacing w:before="216"/>
      </w:pPr>
    </w:p>
    <w:p>
      <w:pPr>
        <w:pStyle w:val="Heading2"/>
      </w:pPr>
      <w:r>
        <w:rPr>
          <w:color w:val="0F2973"/>
          <w:w w:val="130"/>
        </w:rPr>
        <w:t>Key</w:t>
      </w:r>
      <w:r>
        <w:rPr>
          <w:color w:val="0F2973"/>
          <w:spacing w:val="-10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pStyle w:val="BodyText"/>
        <w:spacing w:line="367" w:lineRule="auto" w:before="260"/>
        <w:ind w:left="423"/>
      </w:pPr>
      <w:r>
        <w:rPr>
          <w:color w:val="58585B"/>
          <w:w w:val="105"/>
        </w:rPr>
        <w:t>Trade compliance </w:t>
      </w:r>
      <w:r>
        <w:rPr>
          <w:color w:val="58585B"/>
          <w:spacing w:val="-2"/>
        </w:rPr>
        <w:t>International</w:t>
      </w:r>
      <w:r>
        <w:rPr>
          <w:color w:val="58585B"/>
          <w:spacing w:val="-16"/>
        </w:rPr>
        <w:t> </w:t>
      </w:r>
      <w:r>
        <w:rPr>
          <w:color w:val="58585B"/>
          <w:spacing w:val="-2"/>
        </w:rPr>
        <w:t>arbitration </w:t>
      </w:r>
      <w:r>
        <w:rPr>
          <w:color w:val="58585B"/>
          <w:w w:val="105"/>
        </w:rPr>
        <w:t>Export regulations </w:t>
      </w:r>
      <w:r>
        <w:rPr>
          <w:color w:val="58585B"/>
          <w:spacing w:val="-2"/>
          <w:w w:val="105"/>
        </w:rPr>
        <w:t>ITAR/EAR</w:t>
      </w:r>
    </w:p>
    <w:p>
      <w:pPr>
        <w:pStyle w:val="BodyText"/>
        <w:spacing w:line="252" w:lineRule="exact"/>
        <w:ind w:left="423"/>
      </w:pPr>
      <w:r>
        <w:rPr>
          <w:color w:val="58585B"/>
          <w:w w:val="105"/>
        </w:rPr>
        <w:t>Sanctions</w:t>
      </w:r>
      <w:r>
        <w:rPr>
          <w:color w:val="58585B"/>
          <w:spacing w:val="5"/>
          <w:w w:val="105"/>
        </w:rPr>
        <w:t> </w:t>
      </w:r>
      <w:r>
        <w:rPr>
          <w:color w:val="58585B"/>
          <w:spacing w:val="-2"/>
          <w:w w:val="105"/>
        </w:rPr>
        <w:t>advisement</w:t>
      </w:r>
    </w:p>
    <w:p>
      <w:pPr>
        <w:pStyle w:val="BodyText"/>
        <w:spacing w:line="246" w:lineRule="exact"/>
        <w:ind w:left="51"/>
        <w:rPr>
          <w:rFonts w:ascii="Calibri"/>
        </w:rPr>
      </w:pPr>
      <w:r>
        <w:rPr/>
        <w:br w:type="column"/>
      </w:r>
      <w:r>
        <w:rPr>
          <w:rFonts w:ascii="Calibri"/>
          <w:color w:val="58585B"/>
          <w:w w:val="125"/>
        </w:rPr>
        <w:t>Juris Doctor</w:t>
      </w:r>
      <w:r>
        <w:rPr>
          <w:rFonts w:ascii="Calibri"/>
          <w:color w:val="58585B"/>
          <w:spacing w:val="1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(J.D.)</w:t>
      </w:r>
    </w:p>
    <w:p>
      <w:pPr>
        <w:spacing w:before="10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Georgetown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Law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Center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2014</w:t>
      </w:r>
    </w:p>
    <w:p>
      <w:pPr>
        <w:pStyle w:val="BodyText"/>
        <w:spacing w:before="131"/>
        <w:rPr>
          <w:i/>
        </w:rPr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58585B"/>
          <w:w w:val="125"/>
        </w:rPr>
        <w:t>Bachelor</w:t>
      </w:r>
      <w:r>
        <w:rPr>
          <w:rFonts w:ascii="Calibri"/>
          <w:color w:val="58585B"/>
          <w:spacing w:val="-14"/>
          <w:w w:val="125"/>
        </w:rPr>
        <w:t> </w:t>
      </w:r>
      <w:r>
        <w:rPr>
          <w:rFonts w:ascii="Calibri"/>
          <w:color w:val="58585B"/>
          <w:w w:val="125"/>
        </w:rPr>
        <w:t>of</w:t>
      </w:r>
      <w:r>
        <w:rPr>
          <w:rFonts w:ascii="Calibri"/>
          <w:color w:val="58585B"/>
          <w:spacing w:val="-14"/>
          <w:w w:val="125"/>
        </w:rPr>
        <w:t> </w:t>
      </w:r>
      <w:r>
        <w:rPr>
          <w:rFonts w:ascii="Calibri"/>
          <w:color w:val="58585B"/>
          <w:w w:val="125"/>
        </w:rPr>
        <w:t>Arts</w:t>
      </w:r>
      <w:r>
        <w:rPr>
          <w:rFonts w:ascii="Calibri"/>
          <w:color w:val="58585B"/>
          <w:spacing w:val="-14"/>
          <w:w w:val="125"/>
        </w:rPr>
        <w:t> </w:t>
      </w:r>
      <w:r>
        <w:rPr>
          <w:rFonts w:ascii="Calibri"/>
          <w:color w:val="58585B"/>
          <w:w w:val="125"/>
        </w:rPr>
        <w:t>in</w:t>
      </w:r>
      <w:r>
        <w:rPr>
          <w:rFonts w:ascii="Calibri"/>
          <w:color w:val="58585B"/>
          <w:spacing w:val="-13"/>
          <w:w w:val="125"/>
        </w:rPr>
        <w:t> </w:t>
      </w:r>
      <w:r>
        <w:rPr>
          <w:rFonts w:ascii="Calibri"/>
          <w:color w:val="58585B"/>
          <w:w w:val="125"/>
        </w:rPr>
        <w:t>International</w:t>
      </w:r>
      <w:r>
        <w:rPr>
          <w:rFonts w:ascii="Calibri"/>
          <w:color w:val="58585B"/>
          <w:spacing w:val="-14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Relations</w:t>
      </w:r>
    </w:p>
    <w:p>
      <w:pPr>
        <w:spacing w:before="11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American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6"/>
          <w:sz w:val="22"/>
        </w:rPr>
        <w:t>University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6"/>
          <w:sz w:val="22"/>
        </w:rPr>
        <w:t>2010</w:t>
      </w:r>
    </w:p>
    <w:sectPr>
      <w:type w:val="continuous"/>
      <w:pgSz w:w="11920" w:h="16860"/>
      <w:pgMar w:top="0" w:bottom="0" w:left="283" w:right="425"/>
      <w:cols w:num="2" w:equalWidth="0">
        <w:col w:w="2966" w:space="1051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51"/>
      <w:outlineLvl w:val="1"/>
    </w:pPr>
    <w:rPr>
      <w:rFonts w:ascii="Calibri" w:hAnsi="Calibri" w:eastAsia="Calibri" w:cs="Calibri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very.harris@email.com" TargetMode="External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2025-12-20T22:30:11Z</dcterms:created>
  <dcterms:modified xsi:type="dcterms:W3CDTF">2025-12-20T22:30:11Z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