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6A5C"/>
          <w:w w:val="125"/>
        </w:rPr>
        <w:t>Devon</w:t>
      </w:r>
      <w:r>
        <w:rPr>
          <w:color w:val="006A5C"/>
          <w:spacing w:val="24"/>
          <w:w w:val="130"/>
        </w:rPr>
        <w:t> </w:t>
      </w:r>
      <w:r>
        <w:rPr>
          <w:color w:val="006A5C"/>
          <w:spacing w:val="-4"/>
          <w:w w:val="130"/>
        </w:rPr>
        <w:t>Young</w:t>
      </w:r>
    </w:p>
    <w:p>
      <w:pPr>
        <w:pStyle w:val="Heading2"/>
        <w:spacing w:before="127"/>
      </w:pPr>
      <w:r>
        <w:rPr>
          <w:w w:val="130"/>
        </w:rPr>
        <w:t>Banking</w:t>
      </w:r>
      <w:r>
        <w:rPr>
          <w:spacing w:val="41"/>
          <w:w w:val="130"/>
        </w:rPr>
        <w:t> </w:t>
      </w:r>
      <w:r>
        <w:rPr>
          <w:spacing w:val="-2"/>
          <w:w w:val="130"/>
        </w:rPr>
        <w:t>Lawyer</w:t>
      </w:r>
    </w:p>
    <w:p>
      <w:pPr>
        <w:pStyle w:val="BodyText"/>
        <w:spacing w:before="102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line="276" w:lineRule="auto"/>
        <w:ind w:left="1328" w:right="48"/>
      </w:pPr>
      <w:r>
        <w:rPr>
          <w:color w:val="006A5C"/>
          <w:w w:val="105"/>
        </w:rPr>
        <w:t>City, ST </w:t>
      </w:r>
      <w:hyperlink r:id="rId5">
        <w:r>
          <w:rPr>
            <w:color w:val="006A5C"/>
            <w:spacing w:val="-2"/>
            <w:w w:val="105"/>
          </w:rPr>
          <w:t>devon.young@email.co</w:t>
        </w:r>
      </w:hyperlink>
      <w:r>
        <w:rPr>
          <w:color w:val="006A5C"/>
          <w:spacing w:val="-2"/>
          <w:w w:val="105"/>
        </w:rPr>
        <w:t> </w:t>
      </w:r>
      <w:r>
        <w:rPr>
          <w:color w:val="006A5C"/>
          <w:spacing w:val="-10"/>
          <w:w w:val="105"/>
        </w:rPr>
        <w:t>m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740" w:bottom="280" w:left="283" w:right="425"/>
          <w:cols w:num="2" w:equalWidth="0">
            <w:col w:w="5007" w:space="2458"/>
            <w:col w:w="3747"/>
          </w:cols>
        </w:sectPr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-173242</wp:posOffset>
                </wp:positionV>
                <wp:extent cx="7153275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3.641142pt;width:563.249955pt;height:5.25pt;mso-position-horizontal-relative:page;mso-position-vertical-relative:paragraph;z-index:15731200" id="docshape1" filled="true" fillcolor="#006a5c" stroked="false">
                <v:fill type="solid"/>
                <w10:wrap type="none"/>
              </v:rect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4953000</wp:posOffset>
            </wp:positionH>
            <wp:positionV relativeFrom="paragraph">
              <wp:posOffset>-1116217</wp:posOffset>
            </wp:positionV>
            <wp:extent cx="638174" cy="638174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Strategic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banking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attorney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deep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regulatory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compliance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knowledge</w:t>
      </w:r>
    </w:p>
    <w:p>
      <w:pPr>
        <w:pStyle w:val="BodyText"/>
        <w:spacing w:line="280" w:lineRule="auto" w:before="150"/>
        <w:ind w:left="51" w:right="15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769447</wp:posOffset>
                </wp:positionV>
                <wp:extent cx="7153275" cy="666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0.586391pt;width:563.249955pt;height:5.25pt;mso-position-horizontal-relative:page;mso-position-vertical-relative:paragraph;z-index:15731712" id="docshape2" filled="true" fillcolor="#006a5c" stroked="false">
                <v:fill type="solid"/>
                <w10:wrap type="none"/>
              </v:rect>
            </w:pict>
          </mc:Fallback>
        </mc:AlternateContent>
      </w:r>
      <w:r>
        <w:rPr/>
        <w:t>Banking lawyer with 10 years of experience advising financial institutions on federal banking regulations, lending transactions, and anti-money laundering (AML) compliance. Proven ability to reduce risk and</w:t>
      </w:r>
      <w:r>
        <w:rPr>
          <w:spacing w:val="40"/>
        </w:rPr>
        <w:t> </w:t>
      </w:r>
      <w:r>
        <w:rPr/>
        <w:t>strengthen internal controls.</w:t>
      </w:r>
    </w:p>
    <w:p>
      <w:pPr>
        <w:pStyle w:val="BodyText"/>
        <w:spacing w:before="4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Heading2"/>
        <w:spacing w:before="110"/>
      </w:pPr>
      <w:r>
        <w:rPr>
          <w:color w:val="006A5C"/>
          <w:w w:val="130"/>
        </w:rPr>
        <w:t>Key</w:t>
      </w:r>
      <w:r>
        <w:rPr>
          <w:color w:val="006A5C"/>
          <w:spacing w:val="-10"/>
          <w:w w:val="130"/>
        </w:rPr>
        <w:t> </w:t>
      </w:r>
      <w:r>
        <w:rPr>
          <w:color w:val="006A5C"/>
          <w:spacing w:val="-2"/>
          <w:w w:val="130"/>
        </w:rPr>
        <w:t>Skills</w:t>
      </w:r>
    </w:p>
    <w:p>
      <w:pPr>
        <w:pStyle w:val="BodyText"/>
        <w:spacing w:before="42"/>
        <w:rPr>
          <w:rFonts w:ascii="Calibri"/>
          <w:b/>
          <w:sz w:val="20"/>
        </w:rPr>
      </w:pPr>
    </w:p>
    <w:p>
      <w:pPr>
        <w:spacing w:line="121" w:lineRule="exact"/>
        <w:ind w:left="46" w:right="-303" w:firstLine="0"/>
        <w:rPr>
          <w:rFonts w:ascii="Calibri"/>
          <w:position w:val="-1"/>
          <w:sz w:val="12"/>
        </w:rPr>
      </w:pPr>
      <w:r>
        <w:rPr>
          <w:rFonts w:ascii="Calibri"/>
          <w:position w:val="-1"/>
          <w:sz w:val="12"/>
        </w:rPr>
        <mc:AlternateContent>
          <mc:Choice Requires="wps">
            <w:drawing>
              <wp:inline distT="0" distB="0" distL="0" distR="0">
                <wp:extent cx="1209675" cy="7620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190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57150">
                                <a:moveTo>
                                  <a:pt x="1190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95.25pt;height:6pt;mso-position-horizontal-relative:char;mso-position-vertical-relative:line" id="docshapegroup3" coordorigin="0,0" coordsize="1905,120">
                <v:rect style="position:absolute;left:7;top:7;width:1890;height:105" id="docshape4" filled="false" stroked="true" strokeweight=".75pt" strokecolor="#006a5c">
                  <v:stroke dashstyle="solid"/>
                </v:rect>
                <v:rect style="position:absolute;left:15;top:15;width:1875;height:90" id="docshape5" filled="true" fillcolor="#006a5c" stroked="false">
                  <v:fill type="solid"/>
                </v:rect>
              </v:group>
            </w:pict>
          </mc:Fallback>
        </mc:AlternateContent>
      </w:r>
      <w:r>
        <w:rPr>
          <w:rFonts w:ascii="Calibri"/>
          <w:position w:val="-1"/>
          <w:sz w:val="12"/>
        </w:rPr>
      </w:r>
    </w:p>
    <w:p>
      <w:pPr>
        <w:pStyle w:val="BodyText"/>
        <w:spacing w:before="7"/>
        <w:rPr>
          <w:rFonts w:ascii="Calibri"/>
          <w:b/>
          <w:sz w:val="19"/>
        </w:rPr>
      </w:pPr>
    </w:p>
    <w:p>
      <w:pPr>
        <w:spacing w:line="106" w:lineRule="exact"/>
        <w:ind w:left="46" w:right="-303" w:firstLine="0"/>
        <w:rPr>
          <w:rFonts w:ascii="Calibri"/>
          <w:position w:val="-1"/>
          <w:sz w:val="10"/>
        </w:rPr>
      </w:pPr>
      <w:r>
        <w:rPr>
          <w:rFonts w:ascii="Calibri"/>
          <w:position w:val="-1"/>
          <w:sz w:val="10"/>
        </w:rPr>
        <mc:AlternateContent>
          <mc:Choice Requires="wps">
            <w:drawing>
              <wp:inline distT="0" distB="0" distL="0" distR="0">
                <wp:extent cx="1209675" cy="6667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95.25pt;height:5.25pt;mso-position-horizontal-relative:char;mso-position-vertical-relative:line" id="docshapegroup6" coordorigin="0,0" coordsize="1905,105">
                <v:rect style="position:absolute;left:7;top:7;width:1890;height:90" id="docshape7" filled="false" stroked="true" strokeweight=".75pt" strokecolor="#006a5c">
                  <v:stroke dashstyle="solid"/>
                </v:rect>
                <v:rect style="position:absolute;left:15;top:15;width:1500;height:90" id="docshape8" filled="true" fillcolor="#006a5c" stroked="false">
                  <v:fill type="solid"/>
                </v:rect>
              </v:group>
            </w:pict>
          </mc:Fallback>
        </mc:AlternateContent>
      </w:r>
      <w:r>
        <w:rPr>
          <w:rFonts w:ascii="Calibri"/>
          <w:position w:val="-1"/>
          <w:sz w:val="10"/>
        </w:rPr>
      </w:r>
    </w:p>
    <w:p>
      <w:pPr>
        <w:pStyle w:val="BodyText"/>
        <w:spacing w:before="7"/>
        <w:rPr>
          <w:rFonts w:ascii="Calibri"/>
          <w:b/>
          <w:sz w:val="19"/>
        </w:rPr>
      </w:pPr>
    </w:p>
    <w:p>
      <w:pPr>
        <w:spacing w:line="121" w:lineRule="exact"/>
        <w:ind w:left="46" w:right="-303" w:firstLine="0"/>
        <w:rPr>
          <w:rFonts w:ascii="Calibri"/>
          <w:position w:val="-1"/>
          <w:sz w:val="12"/>
        </w:rPr>
      </w:pPr>
      <w:r>
        <w:rPr>
          <w:rFonts w:ascii="Calibri"/>
          <w:position w:val="-1"/>
          <w:sz w:val="12"/>
        </w:rPr>
        <mc:AlternateContent>
          <mc:Choice Requires="wps">
            <w:drawing>
              <wp:inline distT="0" distB="0" distL="0" distR="0">
                <wp:extent cx="1209675" cy="76200"/>
                <wp:effectExtent l="0" t="0" r="0" b="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95.25pt;height:6pt;mso-position-horizontal-relative:char;mso-position-vertical-relative:line" id="docshapegroup9" coordorigin="0,0" coordsize="1905,120">
                <v:rect style="position:absolute;left:7;top:7;width:1890;height:105" id="docshape10" filled="false" stroked="true" strokeweight=".75pt" strokecolor="#006a5c">
                  <v:stroke dashstyle="solid"/>
                </v:rect>
                <v:rect style="position:absolute;left:15;top:15;width:1125;height:90" id="docshape11" filled="true" fillcolor="#006a5c" stroked="false">
                  <v:fill type="solid"/>
                </v:rect>
              </v:group>
            </w:pict>
          </mc:Fallback>
        </mc:AlternateContent>
      </w:r>
      <w:r>
        <w:rPr>
          <w:rFonts w:ascii="Calibri"/>
          <w:position w:val="-1"/>
          <w:sz w:val="12"/>
        </w:rPr>
      </w:r>
    </w:p>
    <w:p>
      <w:pPr>
        <w:pStyle w:val="BodyText"/>
        <w:spacing w:before="7"/>
        <w:rPr>
          <w:rFonts w:ascii="Calibri"/>
          <w:b/>
          <w:sz w:val="19"/>
        </w:rPr>
      </w:pPr>
    </w:p>
    <w:p>
      <w:pPr>
        <w:spacing w:line="106" w:lineRule="exact"/>
        <w:ind w:left="46" w:right="-303" w:firstLine="0"/>
        <w:rPr>
          <w:rFonts w:ascii="Calibri"/>
          <w:position w:val="-1"/>
          <w:sz w:val="10"/>
        </w:rPr>
      </w:pPr>
      <w:r>
        <w:rPr>
          <w:rFonts w:ascii="Calibri"/>
          <w:position w:val="-1"/>
          <w:sz w:val="10"/>
        </w:rPr>
        <mc:AlternateContent>
          <mc:Choice Requires="wps">
            <w:drawing>
              <wp:inline distT="0" distB="0" distL="0" distR="0">
                <wp:extent cx="1209675" cy="66675"/>
                <wp:effectExtent l="0" t="0" r="0" b="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95.25pt;height:5.25pt;mso-position-horizontal-relative:char;mso-position-vertical-relative:line" id="docshapegroup12" coordorigin="0,0" coordsize="1905,105">
                <v:rect style="position:absolute;left:7;top:7;width:1890;height:90" id="docshape13" filled="false" stroked="true" strokeweight=".75pt" strokecolor="#006a5c">
                  <v:stroke dashstyle="solid"/>
                </v:rect>
                <v:rect style="position:absolute;left:15;top:15;width:1125;height:90" id="docshape14" filled="true" fillcolor="#006a5c" stroked="false">
                  <v:fill type="solid"/>
                </v:rect>
              </v:group>
            </w:pict>
          </mc:Fallback>
        </mc:AlternateContent>
      </w:r>
      <w:r>
        <w:rPr>
          <w:rFonts w:ascii="Calibri"/>
          <w:position w:val="-1"/>
          <w:sz w:val="10"/>
        </w:rPr>
      </w:r>
    </w:p>
    <w:p>
      <w:pPr>
        <w:pStyle w:val="BodyText"/>
        <w:spacing w:before="7"/>
        <w:rPr>
          <w:rFonts w:ascii="Calibri"/>
          <w:b/>
          <w:sz w:val="19"/>
        </w:rPr>
      </w:pPr>
    </w:p>
    <w:p>
      <w:pPr>
        <w:spacing w:line="121" w:lineRule="exact"/>
        <w:ind w:left="46" w:right="-303" w:firstLine="0"/>
        <w:rPr>
          <w:rFonts w:ascii="Calibri"/>
          <w:position w:val="-1"/>
          <w:sz w:val="12"/>
        </w:rPr>
      </w:pPr>
      <w:r>
        <w:rPr>
          <w:rFonts w:ascii="Calibri"/>
          <w:position w:val="-1"/>
          <w:sz w:val="12"/>
        </w:rPr>
        <mc:AlternateContent>
          <mc:Choice Requires="wps">
            <w:drawing>
              <wp:inline distT="0" distB="0" distL="0" distR="0">
                <wp:extent cx="1209675" cy="76200"/>
                <wp:effectExtent l="0" t="0" r="0" b="0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476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57150">
                                <a:moveTo>
                                  <a:pt x="476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95.25pt;height:6pt;mso-position-horizontal-relative:char;mso-position-vertical-relative:line" id="docshapegroup15" coordorigin="0,0" coordsize="1905,120">
                <v:rect style="position:absolute;left:7;top:7;width:1890;height:105" id="docshape16" filled="false" stroked="true" strokeweight=".75pt" strokecolor="#006a5c">
                  <v:stroke dashstyle="solid"/>
                </v:rect>
                <v:rect style="position:absolute;left:15;top:15;width:750;height:90" id="docshape17" filled="true" fillcolor="#006a5c" stroked="false">
                  <v:fill type="solid"/>
                </v:rect>
              </v:group>
            </w:pict>
          </mc:Fallback>
        </mc:AlternateContent>
      </w:r>
      <w:r>
        <w:rPr>
          <w:rFonts w:ascii="Calibri"/>
          <w:position w:val="-1"/>
          <w:sz w:val="12"/>
        </w:rPr>
      </w:r>
    </w:p>
    <w:p>
      <w:pPr>
        <w:pStyle w:val="BodyText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before="176"/>
        <w:rPr>
          <w:rFonts w:ascii="Calibri"/>
          <w:b/>
        </w:rPr>
      </w:pPr>
    </w:p>
    <w:p>
      <w:pPr>
        <w:pStyle w:val="BodyText"/>
        <w:spacing w:line="331" w:lineRule="auto"/>
        <w:ind w:left="51" w:right="6995"/>
      </w:pPr>
      <w:r>
        <w:rPr>
          <w:w w:val="105"/>
        </w:rPr>
        <w:t>Banking law Regulatory</w:t>
      </w:r>
      <w:r>
        <w:rPr>
          <w:spacing w:val="-10"/>
          <w:w w:val="105"/>
        </w:rPr>
        <w:t> </w:t>
      </w:r>
      <w:r>
        <w:rPr>
          <w:w w:val="105"/>
        </w:rPr>
        <w:t>risk AML</w:t>
      </w:r>
      <w:r>
        <w:rPr>
          <w:spacing w:val="-10"/>
          <w:w w:val="105"/>
        </w:rPr>
        <w:t> </w:t>
      </w:r>
      <w:r>
        <w:rPr>
          <w:w w:val="105"/>
        </w:rPr>
        <w:t>compliance</w:t>
      </w:r>
    </w:p>
    <w:p>
      <w:pPr>
        <w:pStyle w:val="BodyText"/>
        <w:spacing w:line="324" w:lineRule="auto" w:before="7"/>
        <w:ind w:left="51" w:right="6354"/>
      </w:pPr>
      <w:r>
        <w:rPr>
          <w:w w:val="105"/>
        </w:rPr>
        <w:t>Commercial</w:t>
      </w:r>
      <w:r>
        <w:rPr>
          <w:spacing w:val="-12"/>
          <w:w w:val="105"/>
        </w:rPr>
        <w:t> </w:t>
      </w:r>
      <w:r>
        <w:rPr>
          <w:w w:val="105"/>
        </w:rPr>
        <w:t>lending Legal</w:t>
      </w:r>
      <w:r>
        <w:rPr>
          <w:spacing w:val="-12"/>
          <w:w w:val="105"/>
        </w:rPr>
        <w:t> </w:t>
      </w:r>
      <w:r>
        <w:rPr>
          <w:w w:val="105"/>
        </w:rPr>
        <w:t>audits</w:t>
      </w:r>
    </w:p>
    <w:p>
      <w:pPr>
        <w:pStyle w:val="BodyText"/>
        <w:spacing w:after="0" w:line="324" w:lineRule="auto"/>
        <w:sectPr>
          <w:type w:val="continuous"/>
          <w:pgSz w:w="11920" w:h="16860"/>
          <w:pgMar w:top="740" w:bottom="280" w:left="283" w:right="425"/>
          <w:cols w:num="2" w:equalWidth="0">
            <w:col w:w="1710" w:space="522"/>
            <w:col w:w="8980"/>
          </w:cols>
        </w:sectPr>
      </w:pPr>
    </w:p>
    <w:p>
      <w:pPr>
        <w:pStyle w:val="BodyText"/>
        <w:spacing w:before="125"/>
        <w:rPr>
          <w:sz w:val="33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-143307</wp:posOffset>
                </wp:positionV>
                <wp:extent cx="7153275" cy="6667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284081pt;width:563.249955pt;height:5.25pt;mso-position-horizontal-relative:page;mso-position-vertical-relative:paragraph;z-index:15732224" id="docshape18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color w:val="006A5C"/>
          <w:w w:val="125"/>
        </w:rPr>
        <w:t>Professional</w:t>
      </w:r>
      <w:r>
        <w:rPr>
          <w:color w:val="006A5C"/>
          <w:spacing w:val="31"/>
          <w:w w:val="130"/>
        </w:rPr>
        <w:t> </w:t>
      </w:r>
      <w:r>
        <w:rPr>
          <w:color w:val="006A5C"/>
          <w:spacing w:val="-2"/>
          <w:w w:val="130"/>
        </w:rPr>
        <w:t>Experience</w:t>
      </w:r>
    </w:p>
    <w:p>
      <w:pPr>
        <w:pStyle w:val="Heading2"/>
        <w:spacing w:after="0"/>
        <w:sectPr>
          <w:type w:val="continuous"/>
          <w:pgSz w:w="11920" w:h="16860"/>
          <w:pgMar w:top="740" w:bottom="280" w:left="283" w:right="425"/>
        </w:sectPr>
      </w:pPr>
    </w:p>
    <w:p>
      <w:pPr>
        <w:pStyle w:val="Heading3"/>
        <w:spacing w:line="268" w:lineRule="auto" w:before="197"/>
        <w:rPr>
          <w:rFonts w:ascii="Calibri"/>
        </w:rPr>
      </w:pPr>
      <w:r>
        <w:rPr>
          <w:rFonts w:ascii="Calibri"/>
          <w:w w:val="130"/>
        </w:rPr>
        <w:t>Senior</w:t>
      </w:r>
      <w:r>
        <w:rPr>
          <w:rFonts w:ascii="Calibri"/>
          <w:spacing w:val="-13"/>
          <w:w w:val="130"/>
        </w:rPr>
        <w:t> </w:t>
      </w:r>
      <w:r>
        <w:rPr>
          <w:rFonts w:ascii="Calibri"/>
          <w:w w:val="130"/>
        </w:rPr>
        <w:t>Banking </w:t>
      </w:r>
      <w:r>
        <w:rPr>
          <w:rFonts w:ascii="Calibri"/>
          <w:spacing w:val="-2"/>
          <w:w w:val="130"/>
        </w:rPr>
        <w:t>Counsel</w:t>
      </w:r>
    </w:p>
    <w:p>
      <w:pPr>
        <w:spacing w:line="268" w:lineRule="auto" w:before="16"/>
        <w:ind w:left="51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Glenrock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Financial,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New York, NY</w:t>
      </w:r>
    </w:p>
    <w:p>
      <w:pPr>
        <w:spacing w:before="58"/>
        <w:ind w:left="51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|</w:t>
      </w:r>
      <w:r>
        <w:rPr>
          <w:i/>
          <w:spacing w:val="-11"/>
          <w:w w:val="95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spacing w:before="235"/>
        <w:rPr>
          <w:i/>
        </w:rPr>
      </w:pPr>
    </w:p>
    <w:p>
      <w:pPr>
        <w:spacing w:line="273" w:lineRule="auto" w:before="1"/>
        <w:ind w:left="51" w:right="96" w:firstLine="0"/>
        <w:jc w:val="left"/>
        <w:rPr>
          <w:i/>
          <w:sz w:val="22"/>
        </w:rPr>
      </w:pPr>
      <w:r>
        <w:rPr>
          <w:rFonts w:ascii="Calibri" w:hAnsi="Calibri"/>
          <w:b/>
          <w:w w:val="110"/>
          <w:sz w:val="22"/>
        </w:rPr>
        <w:t>Associate</w:t>
      </w:r>
      <w:r>
        <w:rPr>
          <w:rFonts w:ascii="Calibri" w:hAnsi="Calibri"/>
          <w:b/>
          <w:spacing w:val="39"/>
          <w:w w:val="110"/>
          <w:sz w:val="22"/>
        </w:rPr>
        <w:t>  </w:t>
      </w:r>
      <w:r>
        <w:rPr>
          <w:rFonts w:ascii="Calibri" w:hAnsi="Calibri"/>
          <w:b/>
          <w:w w:val="110"/>
          <w:sz w:val="22"/>
        </w:rPr>
        <w:t>Attorney</w:t>
      </w:r>
      <w:r>
        <w:rPr>
          <w:rFonts w:ascii="Calibri" w:hAnsi="Calibri"/>
          <w:b/>
          <w:spacing w:val="80"/>
          <w:w w:val="150"/>
          <w:sz w:val="22"/>
        </w:rPr>
        <w:t> </w:t>
      </w:r>
      <w:r>
        <w:rPr>
          <w:rFonts w:ascii="Calibri" w:hAnsi="Calibri"/>
          <w:b/>
          <w:w w:val="110"/>
          <w:sz w:val="22"/>
        </w:rPr>
        <w:t>–</w:t>
      </w:r>
      <w:r>
        <w:rPr>
          <w:rFonts w:ascii="Calibri" w:hAnsi="Calibri"/>
          <w:b/>
          <w:spacing w:val="40"/>
          <w:w w:val="110"/>
          <w:sz w:val="22"/>
        </w:rPr>
        <w:t> </w:t>
      </w:r>
      <w:r>
        <w:rPr>
          <w:rFonts w:ascii="Calibri" w:hAnsi="Calibri"/>
          <w:b/>
          <w:w w:val="110"/>
          <w:sz w:val="22"/>
        </w:rPr>
        <w:t>Financial</w:t>
      </w:r>
      <w:r>
        <w:rPr>
          <w:rFonts w:ascii="Calibri" w:hAnsi="Calibri"/>
          <w:b/>
          <w:spacing w:val="40"/>
          <w:w w:val="110"/>
          <w:sz w:val="22"/>
        </w:rPr>
        <w:t> </w:t>
      </w:r>
      <w:r>
        <w:rPr>
          <w:rFonts w:ascii="Calibri" w:hAnsi="Calibri"/>
          <w:b/>
          <w:w w:val="110"/>
          <w:sz w:val="22"/>
        </w:rPr>
        <w:t>Services</w:t>
      </w:r>
      <w:r>
        <w:rPr>
          <w:rFonts w:ascii="Calibri" w:hAnsi="Calibri"/>
          <w:b/>
          <w:spacing w:val="40"/>
          <w:w w:val="110"/>
          <w:sz w:val="22"/>
        </w:rPr>
        <w:t> </w:t>
      </w:r>
      <w:r>
        <w:rPr>
          <w:i/>
          <w:w w:val="110"/>
          <w:sz w:val="22"/>
        </w:rPr>
        <w:t>Benton</w:t>
      </w:r>
      <w:r>
        <w:rPr>
          <w:i/>
          <w:spacing w:val="-12"/>
          <w:w w:val="110"/>
          <w:sz w:val="22"/>
        </w:rPr>
        <w:t> </w:t>
      </w:r>
      <w:r>
        <w:rPr>
          <w:i/>
          <w:w w:val="110"/>
          <w:sz w:val="22"/>
        </w:rPr>
        <w:t>&amp;</w:t>
      </w:r>
      <w:r>
        <w:rPr>
          <w:i/>
          <w:spacing w:val="-12"/>
          <w:w w:val="110"/>
          <w:sz w:val="22"/>
        </w:rPr>
        <w:t> </w:t>
      </w:r>
      <w:r>
        <w:rPr>
          <w:i/>
          <w:w w:val="110"/>
          <w:sz w:val="22"/>
        </w:rPr>
        <w:t>Shaw</w:t>
      </w:r>
      <w:r>
        <w:rPr>
          <w:i/>
          <w:spacing w:val="-17"/>
          <w:w w:val="110"/>
          <w:sz w:val="22"/>
        </w:rPr>
        <w:t> </w:t>
      </w:r>
      <w:r>
        <w:rPr>
          <w:i/>
          <w:w w:val="110"/>
          <w:sz w:val="22"/>
        </w:rPr>
        <w:t>LLP,</w:t>
      </w:r>
      <w:r>
        <w:rPr>
          <w:i/>
          <w:w w:val="110"/>
          <w:sz w:val="22"/>
        </w:rPr>
        <w:t> New</w:t>
      </w:r>
      <w:r>
        <w:rPr>
          <w:i/>
          <w:spacing w:val="-8"/>
          <w:w w:val="110"/>
          <w:sz w:val="22"/>
        </w:rPr>
        <w:t> </w:t>
      </w:r>
      <w:r>
        <w:rPr>
          <w:i/>
          <w:w w:val="110"/>
          <w:sz w:val="22"/>
        </w:rPr>
        <w:t>York, NY</w:t>
      </w:r>
    </w:p>
    <w:p>
      <w:pPr>
        <w:spacing w:line="268" w:lineRule="auto" w:before="53"/>
        <w:ind w:left="51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z w:val="22"/>
        </w:rPr>
        <w:t>August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2014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August</w:t>
      </w:r>
      <w:r>
        <w:rPr>
          <w:i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pStyle w:val="BodyText"/>
        <w:spacing w:line="280" w:lineRule="auto" w:before="200"/>
        <w:ind w:left="51" w:right="158"/>
      </w:pPr>
      <w:r>
        <w:rPr/>
        <w:br w:type="column"/>
      </w:r>
      <w:r>
        <w:rPr>
          <w:w w:val="105"/>
        </w:rPr>
        <w:t>Advise</w:t>
      </w:r>
      <w:r>
        <w:rPr>
          <w:spacing w:val="-3"/>
          <w:w w:val="105"/>
        </w:rPr>
        <w:t> </w:t>
      </w:r>
      <w:r>
        <w:rPr>
          <w:w w:val="105"/>
        </w:rPr>
        <w:t>on</w:t>
      </w:r>
      <w:r>
        <w:rPr>
          <w:spacing w:val="-3"/>
          <w:w w:val="105"/>
        </w:rPr>
        <w:t> </w:t>
      </w:r>
      <w:r>
        <w:rPr>
          <w:w w:val="105"/>
        </w:rPr>
        <w:t>banking</w:t>
      </w:r>
      <w:r>
        <w:rPr>
          <w:spacing w:val="-3"/>
          <w:w w:val="105"/>
        </w:rPr>
        <w:t> </w:t>
      </w:r>
      <w:r>
        <w:rPr>
          <w:w w:val="105"/>
        </w:rPr>
        <w:t>transactions</w:t>
      </w:r>
      <w:r>
        <w:rPr>
          <w:spacing w:val="-3"/>
          <w:w w:val="105"/>
        </w:rPr>
        <w:t> </w:t>
      </w:r>
      <w:r>
        <w:rPr>
          <w:w w:val="105"/>
        </w:rPr>
        <w:t>exceeding</w:t>
      </w:r>
      <w:r>
        <w:rPr>
          <w:spacing w:val="-3"/>
          <w:w w:val="105"/>
        </w:rPr>
        <w:t> </w:t>
      </w:r>
      <w:r>
        <w:rPr>
          <w:w w:val="105"/>
        </w:rPr>
        <w:t>$200</w:t>
      </w:r>
      <w:r>
        <w:rPr>
          <w:spacing w:val="-3"/>
          <w:w w:val="105"/>
        </w:rPr>
        <w:t> </w:t>
      </w:r>
      <w:r>
        <w:rPr>
          <w:w w:val="105"/>
        </w:rPr>
        <w:t>million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value</w:t>
      </w:r>
      <w:r>
        <w:rPr>
          <w:spacing w:val="-3"/>
          <w:w w:val="105"/>
        </w:rPr>
        <w:t> </w:t>
      </w:r>
      <w:r>
        <w:rPr>
          <w:w w:val="105"/>
        </w:rPr>
        <w:t>across regulatory and commercial lending portfolios</w:t>
      </w:r>
    </w:p>
    <w:p>
      <w:pPr>
        <w:pStyle w:val="BodyText"/>
        <w:spacing w:line="268" w:lineRule="auto" w:before="92"/>
        <w:ind w:left="51" w:right="1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1876424</wp:posOffset>
                </wp:positionH>
                <wp:positionV relativeFrom="paragraph">
                  <wp:posOffset>-324653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-25.563244pt;width:3.75pt;height:3.75pt;mso-position-horizontal-relative:page;mso-position-vertical-relative:paragraph;z-index:15733760" id="docshape19" coordorigin="2955,-511" coordsize="75,75" path="m2998,-436l2987,-436,2982,-437,2955,-468,2955,-473,2955,-479,2987,-511,2998,-511,3030,-479,3030,-468,3003,-437,2998,-436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1876424</wp:posOffset>
                </wp:positionH>
                <wp:positionV relativeFrom="paragraph">
                  <wp:posOffset>113496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8.936753pt;width:3.75pt;height:3.75pt;mso-position-horizontal-relative:page;mso-position-vertical-relative:paragraph;z-index:15734272" id="docshape20" coordorigin="2955,179" coordsize="75,75" path="m2998,254l2987,254,2982,253,2955,222,2955,217,2955,211,2987,179,2998,179,3030,211,3030,222,3003,253,2998,254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Lead</w:t>
      </w:r>
      <w:r>
        <w:rPr>
          <w:spacing w:val="-10"/>
          <w:w w:val="105"/>
        </w:rPr>
        <w:t> </w:t>
      </w:r>
      <w:r>
        <w:rPr>
          <w:w w:val="105"/>
        </w:rPr>
        <w:t>firm-wide</w:t>
      </w:r>
      <w:r>
        <w:rPr>
          <w:spacing w:val="-10"/>
          <w:w w:val="105"/>
        </w:rPr>
        <w:t> </w:t>
      </w:r>
      <w:r>
        <w:rPr>
          <w:w w:val="105"/>
        </w:rPr>
        <w:t>legal</w:t>
      </w:r>
      <w:r>
        <w:rPr>
          <w:spacing w:val="-17"/>
          <w:w w:val="105"/>
        </w:rPr>
        <w:t> </w:t>
      </w:r>
      <w:r>
        <w:rPr>
          <w:w w:val="105"/>
        </w:rPr>
        <w:t>audits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maintain</w:t>
      </w:r>
      <w:r>
        <w:rPr>
          <w:spacing w:val="-10"/>
          <w:w w:val="105"/>
        </w:rPr>
        <w:t> </w:t>
      </w:r>
      <w:r>
        <w:rPr>
          <w:w w:val="105"/>
        </w:rPr>
        <w:t>compliance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FDIC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OCC </w:t>
      </w:r>
      <w:r>
        <w:rPr>
          <w:spacing w:val="-2"/>
          <w:w w:val="105"/>
        </w:rPr>
        <w:t>regulations</w:t>
      </w:r>
    </w:p>
    <w:p>
      <w:pPr>
        <w:pStyle w:val="BodyText"/>
        <w:spacing w:line="280" w:lineRule="auto" w:before="103"/>
        <w:ind w:left="51" w:right="1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1876424</wp:posOffset>
                </wp:positionH>
                <wp:positionV relativeFrom="paragraph">
                  <wp:posOffset>129875</wp:posOffset>
                </wp:positionV>
                <wp:extent cx="47625" cy="4762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10.226439pt;width:3.75pt;height:3.75pt;mso-position-horizontal-relative:page;mso-position-vertical-relative:paragraph;z-index:15734784" id="docshape21" coordorigin="2955,205" coordsize="75,75" path="m2998,280l2987,280,2982,279,2955,247,2955,242,2955,237,2987,205,2998,205,3030,237,3030,247,3003,279,2998,280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Partner</w:t>
      </w:r>
      <w:r>
        <w:rPr>
          <w:spacing w:val="-25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compliance</w:t>
      </w:r>
      <w:r>
        <w:rPr>
          <w:spacing w:val="-14"/>
          <w:w w:val="105"/>
        </w:rPr>
        <w:t> </w:t>
      </w:r>
      <w:r>
        <w:rPr>
          <w:w w:val="105"/>
        </w:rPr>
        <w:t>teams</w:t>
      </w:r>
      <w:r>
        <w:rPr>
          <w:spacing w:val="-15"/>
          <w:w w:val="105"/>
        </w:rPr>
        <w:t> </w:t>
      </w:r>
      <w:r>
        <w:rPr>
          <w:w w:val="105"/>
        </w:rPr>
        <w:t>to</w:t>
      </w:r>
      <w:r>
        <w:rPr>
          <w:spacing w:val="-15"/>
          <w:w w:val="105"/>
        </w:rPr>
        <w:t> </w:t>
      </w:r>
      <w:r>
        <w:rPr>
          <w:w w:val="105"/>
        </w:rPr>
        <w:t>update</w:t>
      </w:r>
      <w:r>
        <w:rPr>
          <w:spacing w:val="-21"/>
          <w:w w:val="105"/>
        </w:rPr>
        <w:t> </w:t>
      </w:r>
      <w:r>
        <w:rPr>
          <w:w w:val="105"/>
        </w:rPr>
        <w:t>AML</w:t>
      </w:r>
      <w:r>
        <w:rPr>
          <w:spacing w:val="-19"/>
          <w:w w:val="105"/>
        </w:rPr>
        <w:t> </w:t>
      </w:r>
      <w:r>
        <w:rPr>
          <w:w w:val="105"/>
        </w:rPr>
        <w:t>policies,</w:t>
      </w:r>
      <w:r>
        <w:rPr>
          <w:spacing w:val="-15"/>
          <w:w w:val="105"/>
        </w:rPr>
        <w:t> </w:t>
      </w:r>
      <w:r>
        <w:rPr>
          <w:w w:val="105"/>
        </w:rPr>
        <w:t>resulting</w:t>
      </w:r>
      <w:r>
        <w:rPr>
          <w:spacing w:val="-15"/>
          <w:w w:val="105"/>
        </w:rPr>
        <w:t> </w:t>
      </w:r>
      <w:r>
        <w:rPr>
          <w:w w:val="105"/>
        </w:rPr>
        <w:t>in</w:t>
      </w:r>
      <w:r>
        <w:rPr>
          <w:spacing w:val="-15"/>
          <w:w w:val="105"/>
        </w:rPr>
        <w:t> </w:t>
      </w:r>
      <w:r>
        <w:rPr>
          <w:w w:val="105"/>
        </w:rPr>
        <w:t>two</w:t>
      </w:r>
      <w:r>
        <w:rPr>
          <w:spacing w:val="-15"/>
          <w:w w:val="105"/>
        </w:rPr>
        <w:t> </w:t>
      </w:r>
      <w:r>
        <w:rPr>
          <w:w w:val="105"/>
        </w:rPr>
        <w:t>clean audit cycles</w:t>
      </w:r>
    </w:p>
    <w:p>
      <w:pPr>
        <w:pStyle w:val="BodyText"/>
        <w:spacing w:before="31"/>
      </w:pPr>
    </w:p>
    <w:p>
      <w:pPr>
        <w:pStyle w:val="BodyText"/>
        <w:spacing w:line="268" w:lineRule="auto"/>
        <w:ind w:left="51" w:right="1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1876424</wp:posOffset>
                </wp:positionH>
                <wp:positionV relativeFrom="paragraph">
                  <wp:posOffset>55453</wp:posOffset>
                </wp:positionV>
                <wp:extent cx="47625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4.366415pt;width:3.75pt;height:3.75pt;mso-position-horizontal-relative:page;mso-position-vertical-relative:paragraph;z-index:15735296" id="docshape22" coordorigin="2955,87" coordsize="75,75" path="m2998,162l2987,162,2982,161,2955,130,2955,125,2955,120,2987,87,2998,87,3030,120,3030,130,3003,161,2998,162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Drafted</w:t>
      </w:r>
      <w:r>
        <w:rPr>
          <w:spacing w:val="-15"/>
          <w:w w:val="105"/>
        </w:rPr>
        <w:t> </w:t>
      </w:r>
      <w:r>
        <w:rPr>
          <w:w w:val="105"/>
        </w:rPr>
        <w:t>loan</w:t>
      </w:r>
      <w:r>
        <w:rPr>
          <w:spacing w:val="-15"/>
          <w:w w:val="105"/>
        </w:rPr>
        <w:t> </w:t>
      </w:r>
      <w:r>
        <w:rPr>
          <w:w w:val="105"/>
        </w:rPr>
        <w:t>agreements,</w:t>
      </w:r>
      <w:r>
        <w:rPr>
          <w:spacing w:val="-15"/>
          <w:w w:val="105"/>
        </w:rPr>
        <w:t> </w:t>
      </w:r>
      <w:r>
        <w:rPr>
          <w:w w:val="105"/>
        </w:rPr>
        <w:t>escrow</w:t>
      </w:r>
      <w:r>
        <w:rPr>
          <w:spacing w:val="-20"/>
          <w:w w:val="105"/>
        </w:rPr>
        <w:t> </w:t>
      </w:r>
      <w:r>
        <w:rPr>
          <w:w w:val="105"/>
        </w:rPr>
        <w:t>instructions,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handled</w:t>
      </w:r>
      <w:r>
        <w:rPr>
          <w:spacing w:val="-15"/>
          <w:w w:val="105"/>
        </w:rPr>
        <w:t> </w:t>
      </w:r>
      <w:r>
        <w:rPr>
          <w:w w:val="105"/>
        </w:rPr>
        <w:t>due</w:t>
      </w:r>
      <w:r>
        <w:rPr>
          <w:spacing w:val="-15"/>
          <w:w w:val="105"/>
        </w:rPr>
        <w:t> </w:t>
      </w:r>
      <w:r>
        <w:rPr>
          <w:w w:val="105"/>
        </w:rPr>
        <w:t>diligence</w:t>
      </w:r>
      <w:r>
        <w:rPr>
          <w:spacing w:val="-15"/>
          <w:w w:val="105"/>
        </w:rPr>
        <w:t> </w:t>
      </w:r>
      <w:r>
        <w:rPr>
          <w:w w:val="105"/>
        </w:rPr>
        <w:t>for commercial bank clients</w:t>
      </w:r>
    </w:p>
    <w:p>
      <w:pPr>
        <w:pStyle w:val="BodyText"/>
        <w:spacing w:line="280" w:lineRule="auto" w:before="103"/>
        <w:ind w:left="51" w:right="1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1876424</wp:posOffset>
                </wp:positionH>
                <wp:positionV relativeFrom="paragraph">
                  <wp:posOffset>130252</wp:posOffset>
                </wp:positionV>
                <wp:extent cx="47625" cy="4762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10.2561pt;width:3.75pt;height:3.75pt;mso-position-horizontal-relative:page;mso-position-vertical-relative:paragraph;z-index:15735808" id="docshape23" coordorigin="2955,205" coordsize="75,75" path="m2998,280l2987,280,2982,279,2955,248,2955,243,2955,237,2987,205,2998,205,3030,237,3030,248,3003,279,2998,280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Provided</w:t>
      </w:r>
      <w:r>
        <w:rPr>
          <w:spacing w:val="40"/>
        </w:rPr>
        <w:t> </w:t>
      </w:r>
      <w:r>
        <w:rPr/>
        <w:t>counsel on</w:t>
      </w:r>
      <w:r>
        <w:rPr>
          <w:spacing w:val="40"/>
        </w:rPr>
        <w:t> </w:t>
      </w:r>
      <w:r>
        <w:rPr/>
        <w:t>Dodd-Frank Act</w:t>
      </w:r>
      <w:r>
        <w:rPr>
          <w:spacing w:val="40"/>
        </w:rPr>
        <w:t> </w:t>
      </w:r>
      <w:r>
        <w:rPr/>
        <w:t>implementation</w:t>
      </w:r>
      <w:r>
        <w:rPr>
          <w:spacing w:val="40"/>
        </w:rPr>
        <w:t> </w:t>
      </w:r>
      <w:r>
        <w:rPr/>
        <w:t>for mid-size</w:t>
      </w:r>
      <w:r>
        <w:rPr>
          <w:spacing w:val="40"/>
        </w:rPr>
        <w:t> </w:t>
      </w:r>
      <w:r>
        <w:rPr/>
        <w:t>regional </w:t>
      </w:r>
      <w:r>
        <w:rPr>
          <w:spacing w:val="-2"/>
        </w:rPr>
        <w:t>banks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740" w:bottom="280" w:left="283" w:right="425"/>
          <w:cols w:num="2" w:equalWidth="0">
            <w:col w:w="2323" w:space="653"/>
            <w:col w:w="8236"/>
          </w:cols>
        </w:sectPr>
      </w:pPr>
    </w:p>
    <w:p>
      <w:pPr>
        <w:pStyle w:val="BodyText"/>
        <w:spacing w:before="212"/>
        <w:rPr>
          <w:sz w:val="33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-143344</wp:posOffset>
                </wp:positionV>
                <wp:extent cx="7153275" cy="6667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286972pt;width:563.249955pt;height:5.25pt;mso-position-horizontal-relative:page;mso-position-vertical-relative:paragraph;z-index:15732736" id="docshape24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color w:val="006A5C"/>
          <w:spacing w:val="-2"/>
          <w:w w:val="130"/>
        </w:rPr>
        <w:t>Education</w:t>
      </w:r>
    </w:p>
    <w:p>
      <w:pPr>
        <w:tabs>
          <w:tab w:pos="2655" w:val="left" w:leader="none"/>
        </w:tabs>
        <w:spacing w:before="197"/>
        <w:ind w:left="51" w:right="0" w:firstLine="0"/>
        <w:jc w:val="left"/>
        <w:rPr>
          <w:sz w:val="22"/>
        </w:rPr>
      </w:pPr>
      <w:r>
        <w:rPr>
          <w:rFonts w:ascii="Calibri"/>
          <w:b/>
          <w:spacing w:val="4"/>
          <w:w w:val="115"/>
          <w:sz w:val="22"/>
        </w:rPr>
        <w:t>Juris</w:t>
      </w:r>
      <w:r>
        <w:rPr>
          <w:rFonts w:ascii="Calibri"/>
          <w:b/>
          <w:spacing w:val="61"/>
          <w:w w:val="115"/>
          <w:sz w:val="22"/>
        </w:rPr>
        <w:t> </w:t>
      </w:r>
      <w:r>
        <w:rPr>
          <w:rFonts w:ascii="Calibri"/>
          <w:b/>
          <w:spacing w:val="4"/>
          <w:w w:val="115"/>
          <w:sz w:val="22"/>
        </w:rPr>
        <w:t>Doctor</w:t>
      </w:r>
      <w:r>
        <w:rPr>
          <w:rFonts w:ascii="Calibri"/>
          <w:b/>
          <w:spacing w:val="61"/>
          <w:w w:val="115"/>
          <w:sz w:val="22"/>
        </w:rPr>
        <w:t> </w:t>
      </w:r>
      <w:r>
        <w:rPr>
          <w:rFonts w:ascii="Calibri"/>
          <w:b/>
          <w:spacing w:val="-2"/>
          <w:w w:val="105"/>
          <w:sz w:val="22"/>
        </w:rPr>
        <w:t>(J.D.)</w:t>
      </w:r>
      <w:r>
        <w:rPr>
          <w:rFonts w:ascii="Calibri"/>
          <w:b/>
          <w:sz w:val="22"/>
        </w:rPr>
        <w:tab/>
      </w:r>
      <w:r>
        <w:rPr>
          <w:w w:val="105"/>
          <w:sz w:val="22"/>
        </w:rPr>
        <w:t>Fordham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University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School</w:t>
      </w:r>
      <w:r>
        <w:rPr>
          <w:spacing w:val="-21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Law</w:t>
      </w:r>
      <w:r>
        <w:rPr>
          <w:spacing w:val="-19"/>
          <w:w w:val="105"/>
          <w:sz w:val="22"/>
        </w:rPr>
        <w:t> </w:t>
      </w:r>
      <w:r>
        <w:rPr>
          <w:w w:val="85"/>
          <w:sz w:val="22"/>
        </w:rPr>
        <w:t>|</w:t>
      </w:r>
      <w:r>
        <w:rPr>
          <w:spacing w:val="-5"/>
          <w:w w:val="85"/>
          <w:sz w:val="22"/>
        </w:rPr>
        <w:t> </w:t>
      </w:r>
      <w:r>
        <w:rPr>
          <w:spacing w:val="-4"/>
          <w:w w:val="105"/>
          <w:sz w:val="22"/>
        </w:rPr>
        <w:t>2014</w:t>
      </w:r>
    </w:p>
    <w:p>
      <w:pPr>
        <w:pStyle w:val="BodyText"/>
        <w:spacing w:before="8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Heading3"/>
        <w:spacing w:line="268" w:lineRule="auto" w:before="107"/>
        <w:rPr>
          <w:rFonts w:ascii="Calibri"/>
        </w:rPr>
      </w:pPr>
      <w:r>
        <w:rPr>
          <w:rFonts w:ascii="Calibri"/>
          <w:w w:val="130"/>
        </w:rPr>
        <w:t>Bachelor</w:t>
      </w:r>
      <w:r>
        <w:rPr>
          <w:rFonts w:ascii="Calibri"/>
          <w:spacing w:val="-16"/>
          <w:w w:val="130"/>
        </w:rPr>
        <w:t> </w:t>
      </w:r>
      <w:r>
        <w:rPr>
          <w:rFonts w:ascii="Calibri"/>
          <w:w w:val="130"/>
        </w:rPr>
        <w:t>of</w:t>
      </w:r>
      <w:r>
        <w:rPr>
          <w:rFonts w:ascii="Calibri"/>
          <w:spacing w:val="-16"/>
          <w:w w:val="130"/>
        </w:rPr>
        <w:t> </w:t>
      </w:r>
      <w:r>
        <w:rPr>
          <w:rFonts w:ascii="Calibri"/>
          <w:w w:val="130"/>
        </w:rPr>
        <w:t>Science in Finance</w:t>
      </w:r>
    </w:p>
    <w:p>
      <w:pPr>
        <w:pStyle w:val="BodyText"/>
        <w:spacing w:before="110"/>
        <w:ind w:left="51"/>
      </w:pPr>
      <w:r>
        <w:rPr/>
        <w:br w:type="column"/>
      </w:r>
      <w:r>
        <w:rPr>
          <w:w w:val="95"/>
        </w:rPr>
        <w:t>St.</w:t>
      </w:r>
      <w:r>
        <w:rPr>
          <w:spacing w:val="-6"/>
          <w:w w:val="95"/>
        </w:rPr>
        <w:t> </w:t>
      </w:r>
      <w:r>
        <w:rPr>
          <w:w w:val="95"/>
        </w:rPr>
        <w:t>John’s</w:t>
      </w:r>
      <w:r>
        <w:rPr>
          <w:spacing w:val="-3"/>
        </w:rPr>
        <w:t> </w:t>
      </w:r>
      <w:r>
        <w:rPr>
          <w:w w:val="95"/>
        </w:rPr>
        <w:t>University</w:t>
      </w:r>
      <w:r>
        <w:rPr>
          <w:spacing w:val="-6"/>
          <w:w w:val="95"/>
        </w:rPr>
        <w:t> </w:t>
      </w:r>
      <w:r>
        <w:rPr>
          <w:w w:val="85"/>
        </w:rPr>
        <w:t>|</w:t>
      </w:r>
      <w:r>
        <w:rPr>
          <w:spacing w:val="-2"/>
        </w:rPr>
        <w:t> </w:t>
      </w:r>
      <w:r>
        <w:rPr>
          <w:spacing w:val="-4"/>
          <w:w w:val="95"/>
        </w:rPr>
        <w:t>2010</w:t>
      </w:r>
    </w:p>
    <w:sectPr>
      <w:type w:val="continuous"/>
      <w:pgSz w:w="11920" w:h="16860"/>
      <w:pgMar w:top="740" w:bottom="280" w:left="283" w:right="425"/>
      <w:cols w:num="2" w:equalWidth="0">
        <w:col w:w="2364" w:space="240"/>
        <w:col w:w="86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51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2025-12-20T22:05:42Z</dcterms:created>
  <dcterms:modified xsi:type="dcterms:W3CDTF">2025-12-20T22:05:42Z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