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Times New Roman"/>
          <w:sz w:val="35"/>
        </w:rPr>
      </w:pPr>
      <w:r>
        <w:rPr>
          <w:rFonts w:ascii="Times New Roman"/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905384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027104" y="4178511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031131" y="4182538"/>
                            <a:ext cx="13779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0" h="73025">
                                <a:moveTo>
                                  <a:pt x="137752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377527" y="0"/>
                                </a:lnTo>
                                <a:lnTo>
                                  <a:pt x="137752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027104" y="4863247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031131" y="4867275"/>
                            <a:ext cx="11036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3630" h="73025">
                                <a:moveTo>
                                  <a:pt x="110363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03633" y="0"/>
                                </a:lnTo>
                                <a:lnTo>
                                  <a:pt x="110363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27104" y="5370757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031131" y="5374785"/>
                            <a:ext cx="829944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944" h="73025">
                                <a:moveTo>
                                  <a:pt x="829738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29738" y="0"/>
                                </a:lnTo>
                                <a:lnTo>
                                  <a:pt x="829738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027104" y="5878267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031131" y="5882295"/>
                            <a:ext cx="5480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73025">
                                <a:moveTo>
                                  <a:pt x="547788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547788" y="0"/>
                                </a:lnTo>
                                <a:lnTo>
                                  <a:pt x="547788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027104" y="6385778"/>
                            <a:ext cx="13862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6205" h="73025">
                                <a:moveTo>
                                  <a:pt x="0" y="0"/>
                                </a:moveTo>
                                <a:lnTo>
                                  <a:pt x="1385583" y="0"/>
                                </a:lnTo>
                                <a:lnTo>
                                  <a:pt x="1385583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031131" y="6389805"/>
                            <a:ext cx="2743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73025">
                                <a:moveTo>
                                  <a:pt x="27389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73894" y="0"/>
                                </a:lnTo>
                                <a:lnTo>
                                  <a:pt x="27389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71671"/>
                            <a:ext cx="2618231" cy="292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82912" id="docshapegroup1" coordorigin="0,0" coordsize="4125,16860">
                <v:shape style="position:absolute;left:0;top:0;width:4125;height:16860" id="docshape2" coordorigin="0,0" coordsize="4125,16860" path="m4125,0l0,0,0,510,0,525,0,4110,0,10875,0,16860,4125,16860,4125,4110,4123,4110,4123,525,4125,525,4125,0xe" filled="true" fillcolor="#33373c" stroked="false">
                  <v:path arrowok="t"/>
                  <v:fill type="solid"/>
                </v:shape>
                <v:shape style="position:absolute;left:380;top:1258;width:952;height:952" type="#_x0000_t75" id="docshape3" stroked="false">
                  <v:imagedata r:id="rId5" o:title=""/>
                </v:shape>
                <v:rect style="position:absolute;left:1617;top:6580;width:2183;height:115" id="docshape4" filled="false" stroked="true" strokeweight=".634309pt" strokecolor="#ffffff">
                  <v:stroke dashstyle="solid"/>
                </v:rect>
                <v:rect style="position:absolute;left:1623;top:6586;width:2170;height:115" id="docshape5" filled="true" fillcolor="#ffffff" stroked="false">
                  <v:fill type="solid"/>
                </v:rect>
                <v:rect style="position:absolute;left:1617;top:7658;width:2183;height:115" id="docshape6" filled="false" stroked="true" strokeweight=".634309pt" strokecolor="#ffffff">
                  <v:stroke dashstyle="solid"/>
                </v:rect>
                <v:rect style="position:absolute;left:1623;top:7665;width:1738;height:115" id="docshape7" filled="true" fillcolor="#ffffff" stroked="false">
                  <v:fill type="solid"/>
                </v:rect>
                <v:rect style="position:absolute;left:1617;top:8457;width:2183;height:115" id="docshape8" filled="false" stroked="true" strokeweight=".634309pt" strokecolor="#ffffff">
                  <v:stroke dashstyle="solid"/>
                </v:rect>
                <v:rect style="position:absolute;left:1623;top:8464;width:1307;height:115" id="docshape9" filled="true" fillcolor="#ffffff" stroked="false">
                  <v:fill type="solid"/>
                </v:rect>
                <v:rect style="position:absolute;left:1617;top:9257;width:2183;height:115" id="docshape10" filled="false" stroked="true" strokeweight=".634309pt" strokecolor="#ffffff">
                  <v:stroke dashstyle="solid"/>
                </v:rect>
                <v:rect style="position:absolute;left:1623;top:9263;width:863;height:115" id="docshape11" filled="true" fillcolor="#ffffff" stroked="false">
                  <v:fill type="solid"/>
                </v:rect>
                <v:rect style="position:absolute;left:1617;top:10056;width:2183;height:115" id="docshape12" filled="false" stroked="true" strokeweight=".634309pt" strokecolor="#ffffff">
                  <v:stroke dashstyle="solid"/>
                </v:rect>
                <v:rect style="position:absolute;left:1623;top:10062;width:432;height:115" id="docshape13" filled="true" fillcolor="#ffffff" stroked="false">
                  <v:fill type="solid"/>
                </v:rect>
                <v:shape style="position:absolute;left:0;top:5467;width:4124;height:461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spacing w:before="83"/>
        <w:rPr>
          <w:rFonts w:ascii="Times New Roman"/>
          <w:sz w:val="35"/>
        </w:r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Young</w:t>
      </w:r>
    </w:p>
    <w:p>
      <w:pPr>
        <w:pStyle w:val="Heading2"/>
        <w:spacing w:line="232" w:lineRule="auto" w:before="167"/>
      </w:pPr>
      <w:r>
        <w:rPr>
          <w:color w:val="FFFFFF"/>
        </w:rPr>
        <w:t>Enterprise </w:t>
      </w:r>
      <w:r>
        <w:rPr>
          <w:color w:val="FFFFFF"/>
        </w:rPr>
        <w:t>Relationship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spacing w:before="45"/>
        <w:rPr>
          <w:rFonts w:ascii="Arial"/>
          <w:b/>
          <w:sz w:val="25"/>
        </w:rPr>
      </w:pPr>
    </w:p>
    <w:p>
      <w:pPr>
        <w:pStyle w:val="BodyText"/>
        <w:ind w:left="97"/>
      </w:pPr>
      <w:r>
        <w:rPr>
          <w:color w:val="FFFFFF"/>
          <w:w w:val="120"/>
        </w:rPr>
        <w:t>Miami,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5"/>
          <w:w w:val="130"/>
        </w:rPr>
        <w:t>FL</w:t>
      </w:r>
    </w:p>
    <w:p>
      <w:pPr>
        <w:pStyle w:val="BodyText"/>
        <w:spacing w:before="99"/>
        <w:ind w:left="97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99"/>
        <w:ind w:left="97"/>
      </w:pPr>
      <w:hyperlink r:id="rId7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46"/>
      </w:pPr>
    </w:p>
    <w:p>
      <w:pPr>
        <w:pStyle w:val="Heading2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41"/>
        <w:ind w:left="97" w:right="1823"/>
      </w:pPr>
      <w:r>
        <w:rPr>
          <w:color w:val="FFFFFF"/>
          <w:spacing w:val="-2"/>
          <w:w w:val="125"/>
        </w:rPr>
        <w:t>Executive relationsh </w:t>
      </w:r>
      <w:r>
        <w:rPr>
          <w:color w:val="FFFFFF"/>
          <w:spacing w:val="-6"/>
          <w:w w:val="125"/>
        </w:rPr>
        <w:t>ip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building</w:t>
      </w:r>
    </w:p>
    <w:p>
      <w:pPr>
        <w:pStyle w:val="BodyText"/>
        <w:spacing w:line="261" w:lineRule="auto" w:before="101"/>
        <w:ind w:left="97" w:right="1827"/>
      </w:pPr>
      <w:r>
        <w:rPr>
          <w:color w:val="FFFFFF"/>
          <w:spacing w:val="-2"/>
          <w:w w:val="125"/>
        </w:rPr>
        <w:t>Enterpris </w:t>
      </w:r>
      <w:r>
        <w:rPr>
          <w:color w:val="FFFFFF"/>
          <w:w w:val="125"/>
        </w:rPr>
        <w:t>e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account </w:t>
      </w:r>
      <w:r>
        <w:rPr>
          <w:color w:val="FFFFFF"/>
          <w:spacing w:val="-2"/>
          <w:w w:val="125"/>
        </w:rPr>
        <w:t>retention</w:t>
      </w:r>
    </w:p>
    <w:p>
      <w:pPr>
        <w:pStyle w:val="BodyText"/>
        <w:spacing w:line="261" w:lineRule="auto" w:before="100"/>
        <w:ind w:left="97" w:right="1827"/>
      </w:pPr>
      <w:r>
        <w:rPr>
          <w:color w:val="FFFFFF"/>
          <w:spacing w:val="-2"/>
          <w:w w:val="125"/>
        </w:rPr>
        <w:t>Upsell strategy</w:t>
      </w:r>
    </w:p>
    <w:p>
      <w:pPr>
        <w:pStyle w:val="BodyText"/>
        <w:spacing w:line="261" w:lineRule="auto" w:before="101"/>
        <w:ind w:left="97" w:right="1827"/>
      </w:pPr>
      <w:r>
        <w:rPr>
          <w:color w:val="FFFFFF"/>
          <w:spacing w:val="-2"/>
          <w:w w:val="125"/>
        </w:rPr>
        <w:t>Strategic review sessions</w:t>
      </w:r>
    </w:p>
    <w:p>
      <w:pPr>
        <w:pStyle w:val="BodyText"/>
        <w:spacing w:line="261" w:lineRule="auto" w:before="100"/>
        <w:ind w:left="97" w:right="1843"/>
      </w:pPr>
      <w:r>
        <w:rPr>
          <w:color w:val="FFFFFF"/>
          <w:spacing w:val="-2"/>
          <w:w w:val="125"/>
        </w:rPr>
        <w:t>Salesforc </w:t>
      </w:r>
      <w:r>
        <w:rPr>
          <w:color w:val="FFFFFF"/>
          <w:w w:val="125"/>
        </w:rPr>
        <w:t>e CRM</w:t>
      </w:r>
    </w:p>
    <w:p>
      <w:pPr>
        <w:pStyle w:val="Heading3"/>
        <w:spacing w:line="261" w:lineRule="auto" w:before="109"/>
        <w:ind w:left="97"/>
      </w:pPr>
      <w:r>
        <w:rPr>
          <w:b w:val="0"/>
        </w:rPr>
        <w:br w:type="column"/>
      </w:r>
      <w:r>
        <w:rPr>
          <w:color w:val="33373C"/>
          <w:w w:val="130"/>
        </w:rPr>
        <w:t>Relationship-focused Enterprise Manager with 9 years of experience supporting long-term B2B clients in fintech and SaaS sectors</w:t>
      </w:r>
    </w:p>
    <w:p>
      <w:pPr>
        <w:pStyle w:val="BodyText"/>
        <w:spacing w:line="261" w:lineRule="auto" w:before="75"/>
        <w:ind w:left="97" w:right="361"/>
        <w:jc w:val="both"/>
      </w:pPr>
      <w:r>
        <w:rPr>
          <w:color w:val="33373C"/>
          <w:w w:val="125"/>
        </w:rPr>
        <w:t>Known for building trust with executive stakeholders, leading enterprise account renewals, and managing high-value </w:t>
      </w:r>
      <w:r>
        <w:rPr>
          <w:color w:val="33373C"/>
          <w:w w:val="125"/>
        </w:rPr>
        <w:t>client </w:t>
      </w:r>
      <w:r>
        <w:rPr>
          <w:color w:val="33373C"/>
          <w:spacing w:val="-2"/>
          <w:w w:val="125"/>
        </w:rPr>
        <w:t>journeys.</w:t>
      </w:r>
    </w:p>
    <w:p>
      <w:pPr>
        <w:pStyle w:val="BodyText"/>
        <w:spacing w:before="26"/>
      </w:pPr>
    </w:p>
    <w:p>
      <w:pPr>
        <w:pStyle w:val="Heading2"/>
        <w:ind w:left="110"/>
      </w:pPr>
      <w:r>
        <w:rPr>
          <w:color w:val="33373C"/>
        </w:rPr>
        <w:t>Professional</w:t>
      </w:r>
      <w:r>
        <w:rPr>
          <w:color w:val="33373C"/>
          <w:spacing w:val="-3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5"/>
        </w:rPr>
      </w:pPr>
    </w:p>
    <w:p>
      <w:pPr>
        <w:spacing w:line="20" w:lineRule="exact"/>
        <w:ind w:left="110" w:right="-44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15" coordorigin="0,0" coordsize="6953,13">
                <v:rect style="position:absolute;left:0;top:0;width:6953;height:13" id="docshape16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Heading3"/>
        <w:spacing w:before="151"/>
        <w:rPr>
          <w:rFonts w:ascii="Arial"/>
        </w:rPr>
      </w:pPr>
      <w:r>
        <w:rPr>
          <w:rFonts w:ascii="Arial"/>
          <w:color w:val="33373C"/>
        </w:rPr>
        <w:t>Enterprise</w:t>
      </w:r>
      <w:r>
        <w:rPr>
          <w:rFonts w:ascii="Arial"/>
          <w:color w:val="33373C"/>
          <w:spacing w:val="24"/>
        </w:rPr>
        <w:t> </w:t>
      </w:r>
      <w:r>
        <w:rPr>
          <w:rFonts w:ascii="Arial"/>
          <w:color w:val="33373C"/>
        </w:rPr>
        <w:t>Relationship</w:t>
      </w:r>
      <w:r>
        <w:rPr>
          <w:rFonts w:ascii="Arial"/>
          <w:color w:val="33373C"/>
          <w:spacing w:val="25"/>
        </w:rPr>
        <w:t> </w:t>
      </w:r>
      <w:r>
        <w:rPr>
          <w:rFonts w:ascii="Arial"/>
          <w:color w:val="33373C"/>
          <w:spacing w:val="-2"/>
        </w:rPr>
        <w:t>Manager</w:t>
      </w:r>
    </w:p>
    <w:p>
      <w:pPr>
        <w:tabs>
          <w:tab w:pos="4720" w:val="left" w:leader="none"/>
        </w:tabs>
        <w:spacing w:before="60"/>
        <w:ind w:left="110" w:right="0" w:firstLine="0"/>
        <w:jc w:val="left"/>
        <w:rPr>
          <w:i/>
          <w:sz w:val="21"/>
        </w:rPr>
      </w:pPr>
      <w:r>
        <w:rPr>
          <w:i/>
          <w:color w:val="33373C"/>
          <w:w w:val="125"/>
          <w:sz w:val="21"/>
        </w:rPr>
        <w:t>FinPro</w:t>
      </w:r>
      <w:r>
        <w:rPr>
          <w:i/>
          <w:color w:val="33373C"/>
          <w:spacing w:val="8"/>
          <w:w w:val="125"/>
          <w:sz w:val="21"/>
        </w:rPr>
        <w:t> </w:t>
      </w:r>
      <w:r>
        <w:rPr>
          <w:i/>
          <w:color w:val="33373C"/>
          <w:w w:val="125"/>
          <w:sz w:val="21"/>
        </w:rPr>
        <w:t>Cloud,</w:t>
      </w:r>
      <w:r>
        <w:rPr>
          <w:i/>
          <w:color w:val="33373C"/>
          <w:spacing w:val="8"/>
          <w:w w:val="125"/>
          <w:sz w:val="21"/>
        </w:rPr>
        <w:t> </w:t>
      </w:r>
      <w:r>
        <w:rPr>
          <w:i/>
          <w:color w:val="33373C"/>
          <w:w w:val="125"/>
          <w:sz w:val="21"/>
        </w:rPr>
        <w:t>Miami,</w:t>
      </w:r>
      <w:r>
        <w:rPr>
          <w:i/>
          <w:color w:val="33373C"/>
          <w:spacing w:val="8"/>
          <w:w w:val="125"/>
          <w:sz w:val="21"/>
        </w:rPr>
        <w:t> </w:t>
      </w:r>
      <w:r>
        <w:rPr>
          <w:i/>
          <w:color w:val="33373C"/>
          <w:spacing w:val="-5"/>
          <w:w w:val="125"/>
          <w:sz w:val="21"/>
        </w:rPr>
        <w:t>FL</w:t>
      </w:r>
      <w:r>
        <w:rPr>
          <w:i/>
          <w:color w:val="33373C"/>
          <w:sz w:val="21"/>
        </w:rPr>
        <w:tab/>
      </w:r>
      <w:r>
        <w:rPr>
          <w:i/>
          <w:color w:val="98C64D"/>
          <w:w w:val="125"/>
          <w:sz w:val="21"/>
        </w:rPr>
        <w:t>August</w:t>
      </w:r>
      <w:r>
        <w:rPr>
          <w:i/>
          <w:color w:val="98C64D"/>
          <w:spacing w:val="-12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2019</w:t>
      </w:r>
      <w:r>
        <w:rPr>
          <w:i/>
          <w:color w:val="98C64D"/>
          <w:spacing w:val="-11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-</w:t>
      </w:r>
      <w:r>
        <w:rPr>
          <w:i/>
          <w:color w:val="98C64D"/>
          <w:spacing w:val="-11"/>
          <w:w w:val="125"/>
          <w:sz w:val="21"/>
        </w:rPr>
        <w:t> </w:t>
      </w:r>
      <w:r>
        <w:rPr>
          <w:i/>
          <w:color w:val="98C64D"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99" w:after="0"/>
        <w:ind w:left="414" w:right="500" w:hanging="292"/>
        <w:jc w:val="left"/>
        <w:rPr>
          <w:sz w:val="21"/>
        </w:rPr>
      </w:pPr>
      <w:r>
        <w:rPr>
          <w:w w:val="125"/>
          <w:sz w:val="21"/>
        </w:rPr>
        <w:t>Retained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97%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top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enterprise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accounts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worth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$7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million </w:t>
      </w:r>
      <w:r>
        <w:rPr>
          <w:spacing w:val="-2"/>
          <w:w w:val="125"/>
          <w:sz w:val="21"/>
        </w:rPr>
        <w:t>annually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57" w:hanging="292"/>
        <w:jc w:val="left"/>
        <w:rPr>
          <w:sz w:val="21"/>
        </w:rPr>
      </w:pPr>
      <w:r>
        <w:rPr>
          <w:w w:val="125"/>
          <w:sz w:val="21"/>
        </w:rPr>
        <w:t>Led cross-functional teams in delivering custom reporting </w:t>
      </w:r>
      <w:r>
        <w:rPr>
          <w:w w:val="125"/>
          <w:sz w:val="21"/>
        </w:rPr>
        <w:t>for CFO-level clients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63" w:after="0"/>
        <w:ind w:left="414" w:right="0" w:hanging="292"/>
        <w:jc w:val="left"/>
        <w:rPr>
          <w:sz w:val="21"/>
        </w:rPr>
      </w:pPr>
      <w:r>
        <w:rPr>
          <w:w w:val="120"/>
          <w:sz w:val="21"/>
        </w:rPr>
        <w:t>Increased</w:t>
      </w:r>
      <w:r>
        <w:rPr>
          <w:spacing w:val="16"/>
          <w:w w:val="120"/>
          <w:sz w:val="21"/>
        </w:rPr>
        <w:t> </w:t>
      </w:r>
      <w:r>
        <w:rPr>
          <w:w w:val="120"/>
          <w:sz w:val="21"/>
        </w:rPr>
        <w:t>upsell</w:t>
      </w:r>
      <w:r>
        <w:rPr>
          <w:spacing w:val="16"/>
          <w:w w:val="120"/>
          <w:sz w:val="21"/>
        </w:rPr>
        <w:t> </w:t>
      </w:r>
      <w:r>
        <w:rPr>
          <w:w w:val="120"/>
          <w:sz w:val="21"/>
        </w:rPr>
        <w:t>revenue</w:t>
      </w:r>
      <w:r>
        <w:rPr>
          <w:spacing w:val="17"/>
          <w:w w:val="120"/>
          <w:sz w:val="21"/>
        </w:rPr>
        <w:t> </w:t>
      </w:r>
      <w:r>
        <w:rPr>
          <w:w w:val="120"/>
          <w:sz w:val="21"/>
        </w:rPr>
        <w:t>by</w:t>
      </w:r>
      <w:r>
        <w:rPr>
          <w:spacing w:val="16"/>
          <w:w w:val="120"/>
          <w:sz w:val="21"/>
        </w:rPr>
        <w:t> </w:t>
      </w:r>
      <w:r>
        <w:rPr>
          <w:w w:val="110"/>
          <w:sz w:val="21"/>
        </w:rPr>
        <w:t>$1.1</w:t>
      </w:r>
      <w:r>
        <w:rPr>
          <w:spacing w:val="16"/>
          <w:w w:val="120"/>
          <w:sz w:val="21"/>
        </w:rPr>
        <w:t> </w:t>
      </w:r>
      <w:r>
        <w:rPr>
          <w:w w:val="120"/>
          <w:sz w:val="21"/>
        </w:rPr>
        <w:t>million</w:t>
      </w:r>
      <w:r>
        <w:rPr>
          <w:spacing w:val="17"/>
          <w:w w:val="120"/>
          <w:sz w:val="21"/>
        </w:rPr>
        <w:t> </w:t>
      </w:r>
      <w:r>
        <w:rPr>
          <w:w w:val="120"/>
          <w:sz w:val="21"/>
        </w:rPr>
        <w:t>across</w:t>
      </w:r>
      <w:r>
        <w:rPr>
          <w:spacing w:val="16"/>
          <w:w w:val="120"/>
          <w:sz w:val="21"/>
        </w:rPr>
        <w:t> </w:t>
      </w:r>
      <w:r>
        <w:rPr>
          <w:w w:val="120"/>
          <w:sz w:val="21"/>
        </w:rPr>
        <w:t>two</w:t>
      </w:r>
      <w:r>
        <w:rPr>
          <w:spacing w:val="16"/>
          <w:w w:val="120"/>
          <w:sz w:val="21"/>
        </w:rPr>
        <w:t> </w:t>
      </w:r>
      <w:r>
        <w:rPr>
          <w:w w:val="120"/>
          <w:sz w:val="21"/>
        </w:rPr>
        <w:t>fiscal</w:t>
      </w:r>
      <w:r>
        <w:rPr>
          <w:spacing w:val="17"/>
          <w:w w:val="120"/>
          <w:sz w:val="21"/>
        </w:rPr>
        <w:t> </w:t>
      </w:r>
      <w:r>
        <w:rPr>
          <w:spacing w:val="-4"/>
          <w:w w:val="120"/>
          <w:sz w:val="21"/>
        </w:rPr>
        <w:t>years</w:t>
      </w:r>
    </w:p>
    <w:p>
      <w:pPr>
        <w:pStyle w:val="Heading3"/>
        <w:spacing w:before="165"/>
        <w:rPr>
          <w:rFonts w:ascii="Arial"/>
        </w:rPr>
      </w:pPr>
      <w:r>
        <w:rPr>
          <w:rFonts w:ascii="Arial"/>
          <w:color w:val="33373C"/>
          <w:spacing w:val="-2"/>
        </w:rPr>
        <w:t>Client</w:t>
      </w:r>
      <w:r>
        <w:rPr>
          <w:rFonts w:ascii="Arial"/>
          <w:color w:val="33373C"/>
          <w:spacing w:val="-11"/>
        </w:rPr>
        <w:t> </w:t>
      </w:r>
      <w:r>
        <w:rPr>
          <w:rFonts w:ascii="Arial"/>
          <w:color w:val="33373C"/>
          <w:spacing w:val="-2"/>
        </w:rPr>
        <w:t>Success</w:t>
      </w:r>
      <w:r>
        <w:rPr>
          <w:rFonts w:ascii="Arial"/>
          <w:color w:val="33373C"/>
          <w:spacing w:val="-10"/>
        </w:rPr>
        <w:t> </w:t>
      </w:r>
      <w:r>
        <w:rPr>
          <w:rFonts w:ascii="Arial"/>
          <w:color w:val="33373C"/>
          <w:spacing w:val="-4"/>
        </w:rPr>
        <w:t>Lead</w:t>
      </w:r>
    </w:p>
    <w:p>
      <w:pPr>
        <w:tabs>
          <w:tab w:pos="4702" w:val="left" w:leader="none"/>
        </w:tabs>
        <w:spacing w:line="261" w:lineRule="auto" w:before="60"/>
        <w:ind w:left="6588" w:right="23" w:hanging="6478"/>
        <w:jc w:val="left"/>
        <w:rPr>
          <w:i/>
          <w:sz w:val="21"/>
        </w:rPr>
      </w:pPr>
      <w:r>
        <w:rPr>
          <w:i/>
          <w:color w:val="33373C"/>
          <w:w w:val="125"/>
          <w:sz w:val="21"/>
        </w:rPr>
        <w:t>TrustEdge Tech, Miami, FL</w:t>
      </w:r>
      <w:r>
        <w:rPr>
          <w:i/>
          <w:color w:val="33373C"/>
          <w:sz w:val="21"/>
        </w:rPr>
        <w:tab/>
      </w:r>
      <w:r>
        <w:rPr>
          <w:i/>
          <w:color w:val="98C64D"/>
          <w:w w:val="125"/>
          <w:sz w:val="21"/>
        </w:rPr>
        <w:t>September</w:t>
      </w:r>
      <w:r>
        <w:rPr>
          <w:i/>
          <w:color w:val="98C64D"/>
          <w:spacing w:val="-5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2015</w:t>
      </w:r>
      <w:r>
        <w:rPr>
          <w:i/>
          <w:color w:val="98C64D"/>
          <w:spacing w:val="-5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-</w:t>
      </w:r>
      <w:r>
        <w:rPr>
          <w:i/>
          <w:color w:val="98C64D"/>
          <w:spacing w:val="-5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July</w:t>
      </w:r>
      <w:r>
        <w:rPr>
          <w:i/>
          <w:color w:val="98C64D"/>
          <w:w w:val="125"/>
          <w:sz w:val="21"/>
        </w:rPr>
        <w:t> </w:t>
      </w:r>
      <w:r>
        <w:rPr>
          <w:i/>
          <w:color w:val="98C64D"/>
          <w:spacing w:val="-4"/>
          <w:w w:val="11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76" w:after="0"/>
        <w:ind w:left="414" w:right="323" w:hanging="292"/>
        <w:jc w:val="left"/>
        <w:rPr>
          <w:sz w:val="21"/>
        </w:rPr>
      </w:pPr>
      <w:r>
        <w:rPr>
          <w:w w:val="125"/>
          <w:sz w:val="21"/>
        </w:rPr>
        <w:t>Developed QBR templates used across the enterprise </w:t>
      </w:r>
      <w:r>
        <w:rPr>
          <w:w w:val="125"/>
          <w:sz w:val="21"/>
        </w:rPr>
        <w:t>sales </w:t>
      </w:r>
      <w:r>
        <w:rPr>
          <w:spacing w:val="-4"/>
          <w:w w:val="125"/>
          <w:sz w:val="21"/>
        </w:rPr>
        <w:t>team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62" w:after="0"/>
        <w:ind w:left="414" w:right="0" w:hanging="292"/>
        <w:jc w:val="left"/>
        <w:rPr>
          <w:sz w:val="21"/>
        </w:rPr>
      </w:pPr>
      <w:r>
        <w:rPr>
          <w:w w:val="120"/>
          <w:sz w:val="21"/>
        </w:rPr>
        <w:t>Reduced</w:t>
      </w:r>
      <w:r>
        <w:rPr>
          <w:spacing w:val="22"/>
          <w:w w:val="120"/>
          <w:sz w:val="21"/>
        </w:rPr>
        <w:t> </w:t>
      </w:r>
      <w:r>
        <w:rPr>
          <w:w w:val="120"/>
          <w:sz w:val="21"/>
        </w:rPr>
        <w:t>churn</w:t>
      </w:r>
      <w:r>
        <w:rPr>
          <w:spacing w:val="23"/>
          <w:w w:val="120"/>
          <w:sz w:val="21"/>
        </w:rPr>
        <w:t> </w:t>
      </w:r>
      <w:r>
        <w:rPr>
          <w:w w:val="120"/>
          <w:sz w:val="21"/>
        </w:rPr>
        <w:t>in</w:t>
      </w:r>
      <w:r>
        <w:rPr>
          <w:spacing w:val="23"/>
          <w:w w:val="120"/>
          <w:sz w:val="21"/>
        </w:rPr>
        <w:t> </w:t>
      </w:r>
      <w:r>
        <w:rPr>
          <w:w w:val="120"/>
          <w:sz w:val="21"/>
        </w:rPr>
        <w:t>Tier</w:t>
      </w:r>
      <w:r>
        <w:rPr>
          <w:spacing w:val="22"/>
          <w:w w:val="120"/>
          <w:sz w:val="21"/>
        </w:rPr>
        <w:t> </w:t>
      </w:r>
      <w:r>
        <w:rPr>
          <w:sz w:val="21"/>
        </w:rPr>
        <w:t>1</w:t>
      </w:r>
      <w:r>
        <w:rPr>
          <w:spacing w:val="23"/>
          <w:w w:val="120"/>
          <w:sz w:val="21"/>
        </w:rPr>
        <w:t> </w:t>
      </w:r>
      <w:r>
        <w:rPr>
          <w:w w:val="120"/>
          <w:sz w:val="21"/>
        </w:rPr>
        <w:t>clients</w:t>
      </w:r>
      <w:r>
        <w:rPr>
          <w:spacing w:val="23"/>
          <w:w w:val="120"/>
          <w:sz w:val="21"/>
        </w:rPr>
        <w:t> </w:t>
      </w:r>
      <w:r>
        <w:rPr>
          <w:w w:val="120"/>
          <w:sz w:val="21"/>
        </w:rPr>
        <w:t>by</w:t>
      </w:r>
      <w:r>
        <w:rPr>
          <w:spacing w:val="22"/>
          <w:w w:val="120"/>
          <w:sz w:val="21"/>
        </w:rPr>
        <w:t> </w:t>
      </w:r>
      <w:r>
        <w:rPr>
          <w:spacing w:val="-5"/>
          <w:w w:val="120"/>
          <w:sz w:val="21"/>
        </w:rPr>
        <w:t>26%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86" w:after="0"/>
        <w:ind w:left="414" w:right="749" w:hanging="292"/>
        <w:jc w:val="left"/>
        <w:rPr>
          <w:sz w:val="21"/>
        </w:rPr>
      </w:pPr>
      <w:r>
        <w:rPr>
          <w:w w:val="125"/>
          <w:sz w:val="21"/>
        </w:rPr>
        <w:t>Acted as liaison between client executives and product </w:t>
      </w:r>
      <w:r>
        <w:rPr>
          <w:spacing w:val="-2"/>
          <w:w w:val="125"/>
          <w:sz w:val="21"/>
        </w:rPr>
        <w:t>engineering</w:t>
      </w:r>
    </w:p>
    <w:p>
      <w:pPr>
        <w:pStyle w:val="BodyText"/>
        <w:spacing w:before="26"/>
      </w:pPr>
    </w:p>
    <w:p>
      <w:pPr>
        <w:pStyle w:val="Heading2"/>
        <w:ind w:left="110"/>
      </w:pPr>
      <w:r>
        <w:rPr>
          <w:color w:val="33373C"/>
          <w:spacing w:val="-2"/>
        </w:rPr>
        <w:t>Education</w:t>
      </w:r>
    </w:p>
    <w:p>
      <w:pPr>
        <w:pStyle w:val="BodyText"/>
        <w:spacing w:before="4"/>
        <w:rPr>
          <w:rFonts w:ascii="Arial"/>
          <w:b/>
          <w:sz w:val="5"/>
        </w:rPr>
      </w:pPr>
    </w:p>
    <w:p>
      <w:pPr>
        <w:spacing w:line="20" w:lineRule="exact"/>
        <w:ind w:left="110" w:right="-44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17" coordorigin="0,0" coordsize="6953,13">
                <v:rect style="position:absolute;left:0;top:0;width:6953;height:13" id="docshape18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before="160"/>
        <w:ind w:left="110"/>
      </w:pPr>
      <w:r>
        <w:rPr>
          <w:w w:val="115"/>
        </w:rPr>
        <w:t>Florida</w:t>
      </w:r>
      <w:r>
        <w:rPr>
          <w:spacing w:val="56"/>
          <w:w w:val="115"/>
        </w:rPr>
        <w:t> </w:t>
      </w:r>
      <w:r>
        <w:rPr>
          <w:w w:val="115"/>
        </w:rPr>
        <w:t>International</w:t>
      </w:r>
      <w:r>
        <w:rPr>
          <w:spacing w:val="57"/>
          <w:w w:val="115"/>
        </w:rPr>
        <w:t> </w:t>
      </w:r>
      <w:r>
        <w:rPr>
          <w:w w:val="115"/>
        </w:rPr>
        <w:t>University</w:t>
      </w:r>
      <w:r>
        <w:rPr>
          <w:spacing w:val="57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spacing w:val="-4"/>
          <w:w w:val="115"/>
        </w:rPr>
        <w:t>2015</w:t>
      </w:r>
    </w:p>
    <w:p>
      <w:pPr>
        <w:spacing w:before="64"/>
        <w:ind w:left="110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33373C"/>
          <w:sz w:val="21"/>
        </w:rPr>
        <w:t>Bachelor</w:t>
      </w:r>
      <w:r>
        <w:rPr>
          <w:rFonts w:ascii="Arial"/>
          <w:b/>
          <w:color w:val="33373C"/>
          <w:spacing w:val="-3"/>
          <w:sz w:val="21"/>
        </w:rPr>
        <w:t> </w:t>
      </w:r>
      <w:r>
        <w:rPr>
          <w:rFonts w:ascii="Arial"/>
          <w:b/>
          <w:color w:val="33373C"/>
          <w:sz w:val="21"/>
        </w:rPr>
        <w:t>of</w:t>
      </w:r>
      <w:r>
        <w:rPr>
          <w:rFonts w:ascii="Arial"/>
          <w:b/>
          <w:color w:val="33373C"/>
          <w:spacing w:val="-3"/>
          <w:sz w:val="21"/>
        </w:rPr>
        <w:t> </w:t>
      </w:r>
      <w:r>
        <w:rPr>
          <w:rFonts w:ascii="Arial"/>
          <w:b/>
          <w:color w:val="33373C"/>
          <w:sz w:val="21"/>
        </w:rPr>
        <w:t>Science</w:t>
      </w:r>
      <w:r>
        <w:rPr>
          <w:rFonts w:ascii="Arial"/>
          <w:b/>
          <w:color w:val="33373C"/>
          <w:spacing w:val="-2"/>
          <w:sz w:val="21"/>
        </w:rPr>
        <w:t> </w:t>
      </w:r>
      <w:r>
        <w:rPr>
          <w:rFonts w:ascii="Arial"/>
          <w:b/>
          <w:color w:val="33373C"/>
          <w:sz w:val="21"/>
        </w:rPr>
        <w:t>in</w:t>
      </w:r>
      <w:r>
        <w:rPr>
          <w:rFonts w:ascii="Arial"/>
          <w:b/>
          <w:color w:val="33373C"/>
          <w:spacing w:val="-3"/>
          <w:sz w:val="21"/>
        </w:rPr>
        <w:t> </w:t>
      </w:r>
      <w:r>
        <w:rPr>
          <w:rFonts w:ascii="Arial"/>
          <w:b/>
          <w:color w:val="33373C"/>
          <w:spacing w:val="-2"/>
          <w:sz w:val="21"/>
        </w:rPr>
        <w:t>Finance</w:t>
      </w:r>
    </w:p>
    <w:sectPr>
      <w:type w:val="continuous"/>
      <w:pgSz w:w="11920" w:h="16860"/>
      <w:pgMar w:top="0" w:bottom="0" w:left="283" w:right="425"/>
      <w:cols w:num="2" w:equalWidth="0">
        <w:col w:w="2994" w:space="1129"/>
        <w:col w:w="70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6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7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5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7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4"/>
      <w:ind w:left="110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14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2026-01-15T18:16:27Z</dcterms:created>
  <dcterms:modified xsi:type="dcterms:W3CDTF">2026-01-15T18:16:27Z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