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73"/>
      </w:pPr>
      <w:r>
        <w:rPr>
          <w:color w:val="F98B78"/>
        </w:rPr>
        <w:t>Blake</w:t>
      </w:r>
      <w:r>
        <w:rPr>
          <w:color w:val="F98B78"/>
          <w:spacing w:val="-11"/>
        </w:rPr>
        <w:t> </w:t>
      </w:r>
      <w:r>
        <w:rPr>
          <w:color w:val="F98B78"/>
          <w:spacing w:val="-2"/>
        </w:rPr>
        <w:t>Allen</w:t>
      </w:r>
    </w:p>
    <w:p>
      <w:pPr>
        <w:pStyle w:val="Heading2"/>
      </w:pPr>
      <w:r>
        <w:rPr>
          <w:spacing w:val="-6"/>
        </w:rPr>
        <w:t>IT</w:t>
      </w:r>
      <w:r>
        <w:rPr>
          <w:spacing w:val="-16"/>
        </w:rPr>
        <w:t> </w:t>
      </w:r>
      <w:r>
        <w:rPr>
          <w:spacing w:val="-6"/>
        </w:rPr>
        <w:t>Compliance</w:t>
      </w:r>
      <w:r>
        <w:rPr>
          <w:spacing w:val="-8"/>
        </w:rPr>
        <w:t> </w:t>
      </w:r>
      <w:r>
        <w:rPr>
          <w:spacing w:val="-6"/>
        </w:rPr>
        <w:t>Project</w:t>
      </w:r>
      <w:r>
        <w:rPr>
          <w:spacing w:val="-8"/>
        </w:rPr>
        <w:t> </w:t>
      </w:r>
      <w:r>
        <w:rPr>
          <w:spacing w:val="-6"/>
        </w:rPr>
        <w:t>Manager</w:t>
      </w:r>
    </w:p>
    <w:p>
      <w:pPr>
        <w:pStyle w:val="BodyText"/>
        <w:spacing w:before="79"/>
        <w:ind w:left="63"/>
      </w:pPr>
      <w:r>
        <w:rPr>
          <w:w w:val="120"/>
        </w:rPr>
        <w:t>City,</w:t>
      </w:r>
      <w:r>
        <w:rPr>
          <w:spacing w:val="-4"/>
          <w:w w:val="120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ind w:left="63"/>
      </w:pPr>
      <w:r>
        <w:rPr>
          <w:w w:val="130"/>
        </w:rPr>
        <w:t>(000)</w:t>
      </w:r>
      <w:r>
        <w:rPr>
          <w:spacing w:val="-4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spacing w:before="175"/>
        <w:ind w:left="63" w:right="0" w:firstLine="0"/>
        <w:jc w:val="left"/>
        <w:rPr>
          <w:b/>
          <w:sz w:val="21"/>
        </w:rPr>
      </w:pPr>
      <w:r>
        <w:rPr>
          <w:b/>
          <w:w w:val="130"/>
          <w:sz w:val="21"/>
        </w:rPr>
        <w:t>Ensuring</w:t>
      </w:r>
      <w:r>
        <w:rPr>
          <w:b/>
          <w:spacing w:val="11"/>
          <w:w w:val="130"/>
          <w:sz w:val="21"/>
        </w:rPr>
        <w:t> </w:t>
      </w:r>
      <w:r>
        <w:rPr>
          <w:b/>
          <w:w w:val="130"/>
          <w:sz w:val="21"/>
        </w:rPr>
        <w:t>IT</w:t>
      </w:r>
      <w:r>
        <w:rPr>
          <w:b/>
          <w:spacing w:val="12"/>
          <w:w w:val="130"/>
          <w:sz w:val="21"/>
        </w:rPr>
        <w:t> </w:t>
      </w:r>
      <w:r>
        <w:rPr>
          <w:b/>
          <w:w w:val="130"/>
          <w:sz w:val="21"/>
        </w:rPr>
        <w:t>project</w:t>
      </w:r>
      <w:r>
        <w:rPr>
          <w:b/>
          <w:spacing w:val="11"/>
          <w:w w:val="130"/>
          <w:sz w:val="21"/>
        </w:rPr>
        <w:t> </w:t>
      </w:r>
      <w:r>
        <w:rPr>
          <w:b/>
          <w:w w:val="130"/>
          <w:sz w:val="21"/>
        </w:rPr>
        <w:t>success</w:t>
      </w:r>
      <w:r>
        <w:rPr>
          <w:b/>
          <w:spacing w:val="12"/>
          <w:w w:val="130"/>
          <w:sz w:val="21"/>
        </w:rPr>
        <w:t> </w:t>
      </w:r>
      <w:r>
        <w:rPr>
          <w:b/>
          <w:w w:val="130"/>
          <w:sz w:val="21"/>
        </w:rPr>
        <w:t>through</w:t>
      </w:r>
      <w:r>
        <w:rPr>
          <w:b/>
          <w:spacing w:val="11"/>
          <w:w w:val="130"/>
          <w:sz w:val="21"/>
        </w:rPr>
        <w:t> </w:t>
      </w:r>
      <w:r>
        <w:rPr>
          <w:b/>
          <w:w w:val="130"/>
          <w:sz w:val="21"/>
        </w:rPr>
        <w:t>governance</w:t>
      </w:r>
      <w:r>
        <w:rPr>
          <w:b/>
          <w:spacing w:val="12"/>
          <w:w w:val="130"/>
          <w:sz w:val="21"/>
        </w:rPr>
        <w:t> </w:t>
      </w:r>
      <w:r>
        <w:rPr>
          <w:b/>
          <w:w w:val="130"/>
          <w:sz w:val="21"/>
        </w:rPr>
        <w:t>and</w:t>
      </w:r>
      <w:r>
        <w:rPr>
          <w:b/>
          <w:spacing w:val="11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compliance</w:t>
      </w:r>
    </w:p>
    <w:p>
      <w:pPr>
        <w:pStyle w:val="BodyText"/>
        <w:spacing w:before="0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spacing w:before="226"/>
        <w:rPr>
          <w:b/>
        </w:rPr>
      </w:pPr>
    </w:p>
    <w:p>
      <w:pPr>
        <w:pStyle w:val="BodyText"/>
        <w:spacing w:before="0"/>
        <w:ind w:right="56"/>
        <w:jc w:val="right"/>
      </w:pPr>
      <w:hyperlink r:id="rId5">
        <w:r>
          <w:rPr>
            <w:spacing w:val="-2"/>
            <w:w w:val="125"/>
          </w:rPr>
          <w:t>email@example.com</w:t>
        </w:r>
      </w:hyperlink>
    </w:p>
    <w:p>
      <w:pPr>
        <w:pStyle w:val="BodyText"/>
        <w:ind w:right="54"/>
        <w:jc w:val="right"/>
      </w:pPr>
      <w:r>
        <w:rPr>
          <w:spacing w:val="-2"/>
          <w:w w:val="130"/>
        </w:rPr>
        <w:t>LinkedIn</w:t>
      </w:r>
    </w:p>
    <w:p>
      <w:pPr>
        <w:pStyle w:val="BodyText"/>
        <w:spacing w:after="0"/>
        <w:jc w:val="right"/>
        <w:sectPr>
          <w:type w:val="continuous"/>
          <w:pgSz w:w="11920" w:h="16860"/>
          <w:pgMar w:top="860" w:bottom="280" w:left="850" w:right="850"/>
          <w:cols w:num="2" w:equalWidth="0">
            <w:col w:w="7405" w:space="411"/>
            <w:col w:w="2404"/>
          </w:cols>
        </w:sectPr>
      </w:pPr>
    </w:p>
    <w:p>
      <w:pPr>
        <w:pStyle w:val="BodyText"/>
        <w:spacing w:line="261" w:lineRule="auto"/>
        <w:ind w:left="63"/>
      </w:pPr>
      <w:r>
        <w:rPr>
          <w:w w:val="125"/>
        </w:rPr>
        <w:t>Highly organized IT Project Manager with 10 years of experience leading compliance-focused projects. Specializes in implementing risk mitigation strategies, regulatory frameworks, and IT </w:t>
      </w:r>
      <w:r>
        <w:rPr>
          <w:w w:val="130"/>
        </w:rPr>
        <w:t>policy development in the finance and legal industries.</w:t>
      </w:r>
    </w:p>
    <w:p>
      <w:pPr>
        <w:pStyle w:val="BodyText"/>
        <w:spacing w:before="167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580011</wp:posOffset>
                </wp:positionH>
                <wp:positionV relativeFrom="paragraph">
                  <wp:posOffset>211903</wp:posOffset>
                </wp:positionV>
                <wp:extent cx="6412865" cy="825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6.685352pt;width:504.90958pt;height:.634309pt;mso-position-horizontal-relative:page;mso-position-vertical-relative:paragraph;z-index:-15728640;mso-wrap-distance-left:0;mso-wrap-distance-right:0" id="docshape1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color w:val="F98B78"/>
          <w:spacing w:val="-2"/>
        </w:rPr>
        <w:t>Key</w:t>
      </w:r>
      <w:r>
        <w:rPr>
          <w:color w:val="F98B78"/>
          <w:spacing w:val="-16"/>
        </w:rPr>
        <w:t> </w:t>
      </w:r>
      <w:r>
        <w:rPr>
          <w:color w:val="F98B78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68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Audit</w:t>
      </w:r>
      <w:r>
        <w:rPr>
          <w:b/>
          <w:spacing w:val="-7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readiness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Compliance</w:t>
      </w:r>
      <w:r>
        <w:rPr>
          <w:b/>
          <w:spacing w:val="-13"/>
          <w:w w:val="130"/>
          <w:sz w:val="21"/>
        </w:rPr>
        <w:t> </w:t>
      </w:r>
      <w:r>
        <w:rPr>
          <w:b/>
          <w:w w:val="130"/>
          <w:sz w:val="21"/>
        </w:rPr>
        <w:t>frameworks</w:t>
      </w:r>
      <w:r>
        <w:rPr>
          <w:b/>
          <w:spacing w:val="-12"/>
          <w:w w:val="130"/>
          <w:sz w:val="21"/>
        </w:rPr>
        <w:t> </w:t>
      </w:r>
      <w:r>
        <w:rPr>
          <w:b/>
          <w:w w:val="130"/>
          <w:sz w:val="21"/>
        </w:rPr>
        <w:t>(SOX,</w:t>
      </w:r>
      <w:r>
        <w:rPr>
          <w:b/>
          <w:spacing w:val="-12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GDPR)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8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Documentation</w:t>
      </w:r>
      <w:r>
        <w:rPr>
          <w:b/>
          <w:spacing w:val="5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control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spacing w:val="-2"/>
          <w:w w:val="130"/>
          <w:sz w:val="21"/>
        </w:rPr>
        <w:t>Governance frameworks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Policy</w:t>
      </w:r>
      <w:r>
        <w:rPr>
          <w:b/>
          <w:spacing w:val="7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creation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35"/>
          <w:sz w:val="21"/>
        </w:rPr>
        <w:t>Risk</w:t>
      </w:r>
      <w:r>
        <w:rPr>
          <w:b/>
          <w:spacing w:val="-4"/>
          <w:w w:val="135"/>
          <w:sz w:val="21"/>
        </w:rPr>
        <w:t> </w:t>
      </w:r>
      <w:r>
        <w:rPr>
          <w:b/>
          <w:spacing w:val="-2"/>
          <w:w w:val="135"/>
          <w:sz w:val="21"/>
        </w:rPr>
        <w:t>management</w:t>
      </w:r>
    </w:p>
    <w:p>
      <w:pPr>
        <w:pStyle w:val="BodyText"/>
        <w:spacing w:before="52"/>
        <w:rPr>
          <w:b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580011</wp:posOffset>
                </wp:positionH>
                <wp:positionV relativeFrom="paragraph">
                  <wp:posOffset>211625</wp:posOffset>
                </wp:positionV>
                <wp:extent cx="6412865" cy="825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6.663427pt;width:504.90958pt;height:.634309pt;mso-position-horizontal-relative:page;mso-position-vertical-relative:paragraph;z-index:-15728128;mso-wrap-distance-left:0;mso-wrap-distance-right:0" id="docshape2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color w:val="F98B78"/>
        </w:rPr>
        <w:t>Professional</w:t>
      </w:r>
      <w:r>
        <w:rPr>
          <w:color w:val="F98B78"/>
          <w:spacing w:val="15"/>
        </w:rPr>
        <w:t> </w:t>
      </w:r>
      <w:r>
        <w:rPr>
          <w:color w:val="F98B78"/>
          <w:spacing w:val="-2"/>
        </w:rPr>
        <w:t>Experience</w:t>
      </w:r>
    </w:p>
    <w:p>
      <w:pPr>
        <w:spacing w:before="170"/>
        <w:ind w:left="63" w:right="0" w:firstLine="0"/>
        <w:jc w:val="left"/>
        <w:rPr>
          <w:rFonts w:ascii="Trebuchet MS"/>
          <w:b/>
          <w:sz w:val="21"/>
        </w:rPr>
      </w:pPr>
      <w:r>
        <w:rPr>
          <w:rFonts w:ascii="Trebuchet MS"/>
          <w:b/>
          <w:spacing w:val="-2"/>
          <w:sz w:val="21"/>
        </w:rPr>
        <w:t>IT</w:t>
      </w:r>
      <w:r>
        <w:rPr>
          <w:rFonts w:ascii="Trebuchet MS"/>
          <w:b/>
          <w:spacing w:val="-9"/>
          <w:sz w:val="21"/>
        </w:rPr>
        <w:t> </w:t>
      </w:r>
      <w:r>
        <w:rPr>
          <w:rFonts w:ascii="Trebuchet MS"/>
          <w:b/>
          <w:spacing w:val="-2"/>
          <w:sz w:val="21"/>
        </w:rPr>
        <w:t>Compliance Project Manager</w:t>
      </w:r>
    </w:p>
    <w:p>
      <w:pPr>
        <w:tabs>
          <w:tab w:pos="7901" w:val="left" w:leader="none"/>
        </w:tabs>
        <w:spacing w:before="33"/>
        <w:ind w:left="6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FinCom</w:t>
      </w:r>
      <w:r>
        <w:rPr>
          <w:i/>
          <w:spacing w:val="26"/>
          <w:w w:val="125"/>
          <w:sz w:val="21"/>
        </w:rPr>
        <w:t> </w:t>
      </w:r>
      <w:r>
        <w:rPr>
          <w:i/>
          <w:w w:val="125"/>
          <w:sz w:val="21"/>
        </w:rPr>
        <w:t>Global,</w:t>
      </w:r>
      <w:r>
        <w:rPr>
          <w:i/>
          <w:spacing w:val="26"/>
          <w:w w:val="125"/>
          <w:sz w:val="21"/>
        </w:rPr>
        <w:t> </w:t>
      </w:r>
      <w:r>
        <w:rPr>
          <w:i/>
          <w:w w:val="125"/>
          <w:sz w:val="21"/>
        </w:rPr>
        <w:t>Chicago,</w:t>
      </w:r>
      <w:r>
        <w:rPr>
          <w:i/>
          <w:spacing w:val="26"/>
          <w:w w:val="125"/>
          <w:sz w:val="21"/>
        </w:rPr>
        <w:t> </w:t>
      </w:r>
      <w:r>
        <w:rPr>
          <w:i/>
          <w:spacing w:val="-5"/>
          <w:w w:val="125"/>
          <w:sz w:val="21"/>
        </w:rPr>
        <w:t>IL</w:t>
      </w:r>
      <w:r>
        <w:rPr>
          <w:i/>
          <w:sz w:val="21"/>
        </w:rPr>
        <w:tab/>
      </w:r>
      <w:r>
        <w:rPr>
          <w:i/>
          <w:w w:val="120"/>
          <w:sz w:val="21"/>
        </w:rPr>
        <w:t>March</w:t>
      </w:r>
      <w:r>
        <w:rPr>
          <w:i/>
          <w:spacing w:val="-1"/>
          <w:w w:val="120"/>
          <w:sz w:val="21"/>
        </w:rPr>
        <w:t> </w:t>
      </w:r>
      <w:r>
        <w:rPr>
          <w:i/>
          <w:w w:val="120"/>
          <w:sz w:val="21"/>
        </w:rPr>
        <w:t>2019</w:t>
      </w:r>
      <w:r>
        <w:rPr>
          <w:i/>
          <w:spacing w:val="-1"/>
          <w:w w:val="120"/>
          <w:sz w:val="21"/>
        </w:rPr>
        <w:t> </w:t>
      </w:r>
      <w:r>
        <w:rPr>
          <w:i/>
          <w:w w:val="120"/>
          <w:sz w:val="21"/>
        </w:rPr>
        <w:t>-</w:t>
      </w:r>
      <w:r>
        <w:rPr>
          <w:i/>
          <w:spacing w:val="-1"/>
          <w:w w:val="120"/>
          <w:sz w:val="21"/>
        </w:rPr>
        <w:t> </w:t>
      </w:r>
      <w:r>
        <w:rPr>
          <w:i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Oversaw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the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implementation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of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GDPR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compliance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systems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across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4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European</w:t>
      </w:r>
      <w:r>
        <w:rPr>
          <w:spacing w:val="14"/>
          <w:w w:val="125"/>
          <w:sz w:val="21"/>
        </w:rPr>
        <w:t> </w:t>
      </w:r>
      <w:r>
        <w:rPr>
          <w:spacing w:val="-2"/>
          <w:w w:val="125"/>
          <w:sz w:val="21"/>
        </w:rPr>
        <w:t>offices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Reduced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audit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finding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rate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70%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through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an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automated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policy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tracking</w:t>
      </w:r>
      <w:r>
        <w:rPr>
          <w:spacing w:val="10"/>
          <w:w w:val="125"/>
          <w:sz w:val="21"/>
        </w:rPr>
        <w:t> </w:t>
      </w:r>
      <w:r>
        <w:rPr>
          <w:spacing w:val="-2"/>
          <w:w w:val="125"/>
          <w:sz w:val="21"/>
        </w:rPr>
        <w:t>system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Led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quarterly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IT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risk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review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board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meetings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compliance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training</w:t>
      </w:r>
      <w:r>
        <w:rPr>
          <w:spacing w:val="9"/>
          <w:w w:val="125"/>
          <w:sz w:val="21"/>
        </w:rPr>
        <w:t> </w:t>
      </w:r>
      <w:r>
        <w:rPr>
          <w:spacing w:val="-2"/>
          <w:w w:val="125"/>
          <w:sz w:val="21"/>
        </w:rPr>
        <w:t>sessions</w:t>
      </w:r>
    </w:p>
    <w:p>
      <w:pPr>
        <w:spacing w:before="178"/>
        <w:ind w:left="63" w:right="0" w:firstLine="0"/>
        <w:jc w:val="left"/>
        <w:rPr>
          <w:rFonts w:ascii="Trebuchet MS"/>
          <w:b/>
          <w:sz w:val="21"/>
        </w:rPr>
      </w:pPr>
      <w:r>
        <w:rPr>
          <w:rFonts w:ascii="Trebuchet MS"/>
          <w:b/>
          <w:sz w:val="21"/>
        </w:rPr>
        <w:t>Technology</w:t>
      </w:r>
      <w:r>
        <w:rPr>
          <w:rFonts w:ascii="Trebuchet MS"/>
          <w:b/>
          <w:spacing w:val="-2"/>
          <w:sz w:val="21"/>
        </w:rPr>
        <w:t> </w:t>
      </w:r>
      <w:r>
        <w:rPr>
          <w:rFonts w:ascii="Trebuchet MS"/>
          <w:b/>
          <w:sz w:val="21"/>
        </w:rPr>
        <w:t>Risk</w:t>
      </w:r>
      <w:r>
        <w:rPr>
          <w:rFonts w:ascii="Trebuchet MS"/>
          <w:b/>
          <w:spacing w:val="-1"/>
          <w:sz w:val="21"/>
        </w:rPr>
        <w:t> </w:t>
      </w:r>
      <w:r>
        <w:rPr>
          <w:rFonts w:ascii="Trebuchet MS"/>
          <w:b/>
          <w:spacing w:val="-2"/>
          <w:sz w:val="21"/>
        </w:rPr>
        <w:t>Associate</w:t>
      </w:r>
    </w:p>
    <w:p>
      <w:pPr>
        <w:tabs>
          <w:tab w:pos="7371" w:val="left" w:leader="none"/>
        </w:tabs>
        <w:spacing w:before="32"/>
        <w:ind w:left="6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LexaLegal</w:t>
      </w:r>
      <w:r>
        <w:rPr>
          <w:i/>
          <w:spacing w:val="33"/>
          <w:w w:val="125"/>
          <w:sz w:val="21"/>
        </w:rPr>
        <w:t> </w:t>
      </w:r>
      <w:r>
        <w:rPr>
          <w:i/>
          <w:w w:val="125"/>
          <w:sz w:val="21"/>
        </w:rPr>
        <w:t>Partners,</w:t>
      </w:r>
      <w:r>
        <w:rPr>
          <w:i/>
          <w:spacing w:val="34"/>
          <w:w w:val="125"/>
          <w:sz w:val="21"/>
        </w:rPr>
        <w:t> </w:t>
      </w:r>
      <w:r>
        <w:rPr>
          <w:i/>
          <w:w w:val="125"/>
          <w:sz w:val="21"/>
        </w:rPr>
        <w:t>Chicago,</w:t>
      </w:r>
      <w:r>
        <w:rPr>
          <w:i/>
          <w:spacing w:val="34"/>
          <w:w w:val="125"/>
          <w:sz w:val="21"/>
        </w:rPr>
        <w:t> </w:t>
      </w:r>
      <w:r>
        <w:rPr>
          <w:i/>
          <w:spacing w:val="-5"/>
          <w:w w:val="125"/>
          <w:sz w:val="21"/>
        </w:rPr>
        <w:t>IL</w:t>
      </w:r>
      <w:r>
        <w:rPr>
          <w:i/>
          <w:sz w:val="21"/>
        </w:rPr>
        <w:tab/>
      </w:r>
      <w:r>
        <w:rPr>
          <w:i/>
          <w:w w:val="125"/>
          <w:sz w:val="21"/>
        </w:rPr>
        <w:t>June</w:t>
      </w:r>
      <w:r>
        <w:rPr>
          <w:i/>
          <w:spacing w:val="7"/>
          <w:w w:val="125"/>
          <w:sz w:val="21"/>
        </w:rPr>
        <w:t> </w:t>
      </w:r>
      <w:r>
        <w:rPr>
          <w:i/>
          <w:w w:val="125"/>
          <w:sz w:val="21"/>
        </w:rPr>
        <w:t>2014</w:t>
      </w:r>
      <w:r>
        <w:rPr>
          <w:i/>
          <w:spacing w:val="8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spacing w:val="8"/>
          <w:w w:val="125"/>
          <w:sz w:val="21"/>
        </w:rPr>
        <w:t> </w:t>
      </w:r>
      <w:r>
        <w:rPr>
          <w:i/>
          <w:w w:val="125"/>
          <w:sz w:val="21"/>
        </w:rPr>
        <w:t>February</w:t>
      </w:r>
      <w:r>
        <w:rPr>
          <w:i/>
          <w:spacing w:val="8"/>
          <w:w w:val="125"/>
          <w:sz w:val="21"/>
        </w:rPr>
        <w:t> </w:t>
      </w:r>
      <w:r>
        <w:rPr>
          <w:i/>
          <w:spacing w:val="-4"/>
          <w:w w:val="125"/>
          <w:sz w:val="21"/>
        </w:rPr>
        <w:t>2019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Conducted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internal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audits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on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software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security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access</w:t>
      </w:r>
      <w:r>
        <w:rPr>
          <w:spacing w:val="6"/>
          <w:w w:val="125"/>
          <w:sz w:val="21"/>
        </w:rPr>
        <w:t> </w:t>
      </w:r>
      <w:r>
        <w:rPr>
          <w:spacing w:val="-2"/>
          <w:w w:val="125"/>
          <w:sz w:val="21"/>
        </w:rPr>
        <w:t>controls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Collaborated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legal to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update IT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policies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in line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with state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and federal</w:t>
      </w:r>
      <w:r>
        <w:rPr>
          <w:spacing w:val="-1"/>
          <w:w w:val="125"/>
          <w:sz w:val="21"/>
        </w:rPr>
        <w:t> </w:t>
      </w:r>
      <w:r>
        <w:rPr>
          <w:spacing w:val="-5"/>
          <w:w w:val="125"/>
          <w:sz w:val="21"/>
        </w:rPr>
        <w:t>law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7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Contributed</w:t>
      </w:r>
      <w:r>
        <w:rPr>
          <w:spacing w:val="-9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-9"/>
          <w:w w:val="125"/>
          <w:sz w:val="21"/>
        </w:rPr>
        <w:t> </w:t>
      </w:r>
      <w:r>
        <w:rPr>
          <w:w w:val="125"/>
          <w:sz w:val="21"/>
        </w:rPr>
        <w:t>ISO</w:t>
      </w:r>
      <w:r>
        <w:rPr>
          <w:spacing w:val="-8"/>
          <w:w w:val="125"/>
          <w:sz w:val="21"/>
        </w:rPr>
        <w:t> </w:t>
      </w:r>
      <w:r>
        <w:rPr>
          <w:w w:val="125"/>
          <w:sz w:val="21"/>
        </w:rPr>
        <w:t>27001</w:t>
      </w:r>
      <w:r>
        <w:rPr>
          <w:spacing w:val="-9"/>
          <w:w w:val="125"/>
          <w:sz w:val="21"/>
        </w:rPr>
        <w:t> </w:t>
      </w:r>
      <w:r>
        <w:rPr>
          <w:w w:val="125"/>
          <w:sz w:val="21"/>
        </w:rPr>
        <w:t>certification</w:t>
      </w:r>
      <w:r>
        <w:rPr>
          <w:spacing w:val="-8"/>
          <w:w w:val="125"/>
          <w:sz w:val="21"/>
        </w:rPr>
        <w:t> </w:t>
      </w:r>
      <w:r>
        <w:rPr>
          <w:spacing w:val="-2"/>
          <w:w w:val="125"/>
          <w:sz w:val="21"/>
        </w:rPr>
        <w:t>documentation</w:t>
      </w:r>
    </w:p>
    <w:p>
      <w:pPr>
        <w:pStyle w:val="BodyText"/>
        <w:spacing w:before="51"/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580011</wp:posOffset>
                </wp:positionH>
                <wp:positionV relativeFrom="paragraph">
                  <wp:posOffset>212018</wp:posOffset>
                </wp:positionV>
                <wp:extent cx="6412865" cy="825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6.694342pt;width:504.90958pt;height:.634309pt;mso-position-horizontal-relative:page;mso-position-vertical-relative:paragraph;z-index:-15727616;mso-wrap-distance-left:0;mso-wrap-distance-right:0" id="docshape3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color w:val="F98B78"/>
          <w:spacing w:val="-2"/>
        </w:rPr>
        <w:t>Education</w:t>
      </w:r>
    </w:p>
    <w:p>
      <w:pPr>
        <w:pStyle w:val="BodyText"/>
        <w:spacing w:line="297" w:lineRule="auto" w:before="168"/>
        <w:ind w:left="63" w:right="2698"/>
      </w:pPr>
      <w:r>
        <w:rPr>
          <w:rFonts w:ascii="Trebuchet MS"/>
        </w:rPr>
        <w:t>Bachelor of Science in Information Assurance and Compliance</w:t>
      </w:r>
      <w:r>
        <w:rPr>
          <w:rFonts w:ascii="Trebuchet MS"/>
          <w:spacing w:val="80"/>
        </w:rPr>
        <w:t> </w:t>
      </w:r>
      <w:r>
        <w:rPr/>
        <w:t>May</w:t>
      </w:r>
      <w:r>
        <w:rPr>
          <w:spacing w:val="40"/>
        </w:rPr>
        <w:t> </w:t>
      </w:r>
      <w:r>
        <w:rPr/>
        <w:t>2014</w:t>
      </w:r>
      <w:r>
        <w:rPr>
          <w:spacing w:val="40"/>
          <w:w w:val="115"/>
        </w:rPr>
        <w:t> </w:t>
      </w:r>
      <w:r>
        <w:rPr>
          <w:w w:val="115"/>
        </w:rPr>
        <w:t>Loyola</w:t>
      </w:r>
      <w:r>
        <w:rPr>
          <w:spacing w:val="40"/>
          <w:w w:val="115"/>
        </w:rPr>
        <w:t> </w:t>
      </w:r>
      <w:r>
        <w:rPr>
          <w:w w:val="115"/>
        </w:rPr>
        <w:t>University</w:t>
      </w:r>
      <w:r>
        <w:rPr>
          <w:spacing w:val="40"/>
          <w:w w:val="115"/>
        </w:rPr>
        <w:t> </w:t>
      </w:r>
      <w:r>
        <w:rPr>
          <w:w w:val="115"/>
        </w:rPr>
        <w:t>Chicago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Chicago,</w:t>
      </w:r>
      <w:r>
        <w:rPr>
          <w:spacing w:val="40"/>
          <w:w w:val="115"/>
        </w:rPr>
        <w:t> </w:t>
      </w:r>
      <w:r>
        <w:rPr>
          <w:w w:val="115"/>
        </w:rPr>
        <w:t>IL</w:t>
      </w:r>
    </w:p>
    <w:sectPr>
      <w:type w:val="continuous"/>
      <w:pgSz w:w="11920" w:h="16860"/>
      <w:pgMar w:top="86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5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60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4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63"/>
      <w:outlineLvl w:val="2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36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2026-01-23T16:49:42Z</dcterms:created>
  <dcterms:modified xsi:type="dcterms:W3CDTF">2026-01-23T16:49:42Z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2026-01-23T00:00:00Z</vt:filetime>
  </property>
  <property fmtid="{D5CDD505-2E9C-101B-9397-08002B2CF9AE}" pid="5" name="Producer">
    <vt:lpwstr>Skia/PDF m121</vt:lpwstr>
  </property>
</Properties>
</file>