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566"/>
        </w:sectPr>
      </w:pPr>
    </w:p>
    <w:p>
      <w:pPr>
        <w:pStyle w:val="Heading1"/>
      </w:pPr>
      <w:r>
        <w:rPr>
          <w:color w:val="CC8B00"/>
          <w:spacing w:val="-20"/>
        </w:rPr>
        <w:t>AVERY</w:t>
      </w:r>
      <w:r>
        <w:rPr>
          <w:color w:val="CC8B00"/>
          <w:spacing w:val="-17"/>
        </w:rPr>
        <w:t> </w:t>
      </w:r>
      <w:r>
        <w:rPr>
          <w:color w:val="CC8B00"/>
          <w:spacing w:val="-5"/>
        </w:rPr>
        <w:t>HARRIS</w:t>
      </w:r>
    </w:p>
    <w:p>
      <w:pPr>
        <w:pStyle w:val="Heading2"/>
      </w:pPr>
      <w:r>
        <w:rPr/>
        <w:t>Fire </w:t>
      </w:r>
      <w:r>
        <w:rPr>
          <w:spacing w:val="-2"/>
        </w:rPr>
        <w:t>Investigator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CC8B00"/>
          <w:w w:val="120"/>
        </w:rPr>
        <w:t>Tulsa, OK </w:t>
      </w:r>
      <w:hyperlink r:id="rId5">
        <w:r>
          <w:rPr>
            <w:color w:val="CC8B00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353"/>
      </w:pPr>
      <w:r>
        <w:rPr>
          <w:color w:val="CC8B00"/>
          <w:spacing w:val="-4"/>
          <w:w w:val="125"/>
        </w:rPr>
        <w:t>(XXX)</w:t>
      </w:r>
      <w:r>
        <w:rPr>
          <w:color w:val="CC8B00"/>
          <w:spacing w:val="-2"/>
          <w:w w:val="125"/>
        </w:rPr>
        <w:t> </w:t>
      </w:r>
      <w:r>
        <w:rPr>
          <w:color w:val="CC8B00"/>
          <w:spacing w:val="-4"/>
          <w:w w:val="125"/>
        </w:rPr>
        <w:t>XXX-XXXX</w:t>
      </w:r>
    </w:p>
    <w:p>
      <w:pPr>
        <w:pStyle w:val="BodyText"/>
        <w:spacing w:line="268" w:lineRule="auto" w:before="31"/>
        <w:ind w:left="1353"/>
      </w:pPr>
      <w:r>
        <w:rPr>
          <w:color w:val="CC8B00"/>
          <w:w w:val="115"/>
        </w:rPr>
        <w:t>Resume Link </w:t>
      </w:r>
      <w:r>
        <w:rPr>
          <w:color w:val="CC8B00"/>
        </w:rPr>
        <w:t>| </w:t>
      </w:r>
      <w:r>
        <w:rPr>
          <w:color w:val="CC8B00"/>
          <w:spacing w:val="-2"/>
          <w:w w:val="115"/>
        </w:rPr>
        <w:t>Portfolio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566"/>
          <w:cols w:num="2" w:equalWidth="0">
            <w:col w:w="5682" w:space="1888"/>
            <w:col w:w="3501"/>
          </w:cols>
        </w:sectPr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spacing w:line="268" w:lineRule="auto"/>
        <w:ind w:left="51" w:right="364"/>
      </w:pPr>
      <w:r>
        <w:rPr>
          <w:w w:val="125"/>
        </w:rPr>
        <w:t>Certified</w:t>
      </w:r>
      <w:r>
        <w:rPr>
          <w:spacing w:val="-7"/>
          <w:w w:val="125"/>
        </w:rPr>
        <w:t> </w:t>
      </w:r>
      <w:r>
        <w:rPr>
          <w:w w:val="125"/>
        </w:rPr>
        <w:t>Fire</w:t>
      </w:r>
      <w:r>
        <w:rPr>
          <w:spacing w:val="-7"/>
          <w:w w:val="125"/>
        </w:rPr>
        <w:t> </w:t>
      </w:r>
      <w:r>
        <w:rPr>
          <w:w w:val="125"/>
        </w:rPr>
        <w:t>Investigator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a</w:t>
      </w:r>
      <w:r>
        <w:rPr>
          <w:spacing w:val="-7"/>
          <w:w w:val="125"/>
        </w:rPr>
        <w:t> </w:t>
      </w:r>
      <w:r>
        <w:rPr>
          <w:w w:val="125"/>
        </w:rPr>
        <w:t>background</w:t>
      </w:r>
      <w:r>
        <w:rPr>
          <w:spacing w:val="-7"/>
          <w:w w:val="125"/>
        </w:rPr>
        <w:t> </w:t>
      </w:r>
      <w:r>
        <w:rPr>
          <w:w w:val="125"/>
        </w:rPr>
        <w:t>in</w:t>
      </w:r>
      <w:r>
        <w:rPr>
          <w:spacing w:val="-7"/>
          <w:w w:val="125"/>
        </w:rPr>
        <w:t> </w:t>
      </w:r>
      <w:r>
        <w:rPr>
          <w:w w:val="125"/>
        </w:rPr>
        <w:t>law</w:t>
      </w:r>
      <w:r>
        <w:rPr>
          <w:spacing w:val="-7"/>
          <w:w w:val="125"/>
        </w:rPr>
        <w:t> </w:t>
      </w:r>
      <w:r>
        <w:rPr>
          <w:w w:val="125"/>
        </w:rPr>
        <w:t>enforcement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over</w:t>
      </w:r>
      <w:r>
        <w:rPr>
          <w:spacing w:val="-7"/>
          <w:w w:val="125"/>
        </w:rPr>
        <w:t> </w:t>
      </w:r>
      <w:r>
        <w:rPr>
          <w:w w:val="125"/>
        </w:rPr>
        <w:t>8</w:t>
      </w:r>
      <w:r>
        <w:rPr>
          <w:spacing w:val="-7"/>
          <w:w w:val="125"/>
        </w:rPr>
        <w:t> </w:t>
      </w:r>
      <w:r>
        <w:rPr>
          <w:w w:val="125"/>
        </w:rPr>
        <w:t>years</w:t>
      </w:r>
      <w:r>
        <w:rPr>
          <w:spacing w:val="-7"/>
          <w:w w:val="125"/>
        </w:rPr>
        <w:t> </w:t>
      </w:r>
      <w:r>
        <w:rPr>
          <w:w w:val="125"/>
        </w:rPr>
        <w:t>of</w:t>
      </w:r>
      <w:r>
        <w:rPr>
          <w:spacing w:val="-7"/>
          <w:w w:val="125"/>
        </w:rPr>
        <w:t> </w:t>
      </w:r>
      <w:r>
        <w:rPr>
          <w:w w:val="125"/>
        </w:rPr>
        <w:t>experience determining fire origin and cause. Skilled in scene analysis, interviewing witnesses, and writing court-ready investigation reports.</w:t>
      </w:r>
    </w:p>
    <w:p>
      <w:pPr>
        <w:pStyle w:val="BodyText"/>
        <w:spacing w:before="10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566"/>
        </w:sectPr>
      </w:pPr>
    </w:p>
    <w:p>
      <w:pPr>
        <w:pStyle w:val="Heading3"/>
      </w:pPr>
      <w:r>
        <w:rPr>
          <w:color w:val="CC8B00"/>
          <w:spacing w:val="-5"/>
        </w:rPr>
        <w:t>Key</w:t>
      </w:r>
      <w:r>
        <w:rPr>
          <w:color w:val="CC8B00"/>
          <w:spacing w:val="-13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tabs>
          <w:tab w:pos="423" w:val="left" w:leader="none"/>
        </w:tabs>
        <w:spacing w:before="125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Cause</w:t>
      </w:r>
      <w:r>
        <w:rPr>
          <w:color w:val="58585B"/>
          <w:spacing w:val="5"/>
          <w:w w:val="125"/>
        </w:rPr>
        <w:t> </w:t>
      </w:r>
      <w:r>
        <w:rPr>
          <w:color w:val="58585B"/>
          <w:spacing w:val="-2"/>
          <w:w w:val="125"/>
        </w:rPr>
        <w:t>determination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Code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violation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review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Court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testimony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Evidence</w:t>
      </w:r>
      <w:r>
        <w:rPr>
          <w:color w:val="58585B"/>
          <w:spacing w:val="8"/>
          <w:w w:val="125"/>
        </w:rPr>
        <w:t> </w:t>
      </w:r>
      <w:r>
        <w:rPr>
          <w:color w:val="58585B"/>
          <w:spacing w:val="-2"/>
          <w:w w:val="125"/>
        </w:rPr>
        <w:t>preservation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Interview</w:t>
      </w:r>
      <w:r>
        <w:rPr>
          <w:color w:val="58585B"/>
          <w:spacing w:val="11"/>
          <w:w w:val="120"/>
        </w:rPr>
        <w:t> </w:t>
      </w:r>
      <w:r>
        <w:rPr>
          <w:color w:val="58585B"/>
          <w:spacing w:val="-2"/>
          <w:w w:val="120"/>
        </w:rPr>
        <w:t>techniques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0"/>
        </w:rPr>
        <w:t>Scene</w:t>
      </w:r>
      <w:r>
        <w:rPr>
          <w:color w:val="58585B"/>
          <w:spacing w:val="-9"/>
          <w:w w:val="130"/>
        </w:rPr>
        <w:t> </w:t>
      </w:r>
      <w:r>
        <w:rPr>
          <w:color w:val="58585B"/>
          <w:spacing w:val="-2"/>
          <w:w w:val="130"/>
        </w:rPr>
        <w:t>photography</w:t>
      </w:r>
    </w:p>
    <w:p>
      <w:pPr>
        <w:pStyle w:val="BodyText"/>
        <w:tabs>
          <w:tab w:pos="423" w:val="left" w:leader="none"/>
        </w:tabs>
        <w:spacing w:before="122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Suspected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arson </w:t>
      </w:r>
      <w:r>
        <w:rPr>
          <w:color w:val="58585B"/>
          <w:spacing w:val="-4"/>
          <w:w w:val="125"/>
        </w:rPr>
        <w:t>cases</w:t>
      </w:r>
    </w:p>
    <w:p>
      <w:pPr>
        <w:pStyle w:val="Heading3"/>
      </w:pPr>
      <w:r>
        <w:rPr>
          <w:b w:val="0"/>
        </w:rPr>
        <w:br w:type="column"/>
      </w:r>
      <w:r>
        <w:rPr>
          <w:color w:val="CC8B00"/>
          <w:spacing w:val="-2"/>
        </w:rPr>
        <w:t>Professional</w:t>
      </w:r>
      <w:r>
        <w:rPr>
          <w:color w:val="CC8B00"/>
          <w:spacing w:val="2"/>
        </w:rPr>
        <w:t> </w:t>
      </w:r>
      <w:r>
        <w:rPr>
          <w:color w:val="CC8B00"/>
          <w:spacing w:val="-2"/>
        </w:rPr>
        <w:t>Experience</w:t>
      </w:r>
    </w:p>
    <w:p>
      <w:pPr>
        <w:spacing w:before="226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z w:val="26"/>
        </w:rPr>
        <w:t>Fire</w:t>
      </w:r>
      <w:r>
        <w:rPr>
          <w:rFonts w:ascii="Arial"/>
          <w:b/>
          <w:color w:val="58585B"/>
          <w:spacing w:val="-5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Investigator</w:t>
      </w:r>
    </w:p>
    <w:p>
      <w:pPr>
        <w:spacing w:before="5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Tulsa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Fire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Marshal’s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Ofice,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OK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July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2020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68" w:lineRule="auto" w:before="211"/>
        <w:ind w:left="423" w:right="327" w:hanging="360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Conduct origin-and-cause investigations for commercial and residential fires</w:t>
      </w:r>
    </w:p>
    <w:p>
      <w:pPr>
        <w:pStyle w:val="BodyText"/>
        <w:tabs>
          <w:tab w:pos="423" w:val="left" w:leader="none"/>
        </w:tabs>
        <w:spacing w:line="268" w:lineRule="auto" w:before="89"/>
        <w:ind w:left="423" w:right="148" w:hanging="360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Collect and document evidence, including scene sketches and photographs</w:t>
      </w:r>
    </w:p>
    <w:p>
      <w:pPr>
        <w:pStyle w:val="BodyText"/>
        <w:tabs>
          <w:tab w:pos="423" w:val="left" w:leader="none"/>
        </w:tabs>
        <w:spacing w:line="268" w:lineRule="auto" w:before="88"/>
        <w:ind w:left="423" w:right="869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Coordinate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local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police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arson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task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force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on suspicious fire cases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566"/>
          <w:cols w:num="2" w:equalWidth="0">
            <w:col w:w="2953" w:space="1065"/>
            <w:col w:w="7053"/>
          </w:cols>
        </w:sectPr>
      </w:pPr>
    </w:p>
    <w:p>
      <w:pPr>
        <w:spacing w:line="20" w:lineRule="exact"/>
        <w:ind w:left="-283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552700" cy="95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552700" cy="9525"/>
                          <a:chExt cx="2552700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01pt;height:.75pt;mso-position-horizontal-relative:char;mso-position-vertical-relative:line" id="docshapegroup1" coordorigin="0,0" coordsize="4020,15">
                <v:rect style="position:absolute;left:0;top:0;width:4020;height:15" id="docshape2" filled="true" fillcolor="#cc8b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2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280" w:left="283" w:right="566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5622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2562225"/>
                          <a:chExt cx="7568565" cy="25622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11"/>
                            <a:ext cx="7568565" cy="256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62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57350"/>
                                </a:lnTo>
                                <a:lnTo>
                                  <a:pt x="0" y="2562225"/>
                                </a:lnTo>
                                <a:lnTo>
                                  <a:pt x="7568171" y="2562225"/>
                                </a:lnTo>
                                <a:lnTo>
                                  <a:pt x="7568171" y="16573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09549" y="1771649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1.75pt;mso-position-horizontal-relative:page;mso-position-vertical-relative:page;z-index:-15782400" id="docshapegroup3" coordorigin="0,0" coordsize="11919,4035">
                <v:shape style="position:absolute;left:0;top:0;width:11919;height:4035" id="docshape4" coordorigin="0,0" coordsize="11919,4035" path="m11918,0l0,0,0,510,0,525,0,2610,0,4035,11918,4035,11918,2610,11918,525,11918,510,11918,0xe" filled="true" fillcolor="#f1f4f4" stroked="false">
                  <v:path arrowok="t"/>
                  <v:fill type="solid"/>
                </v:shape>
                <v:rect style="position:absolute;left:330;top:2790;width:11265;height:15" id="docshape5" filled="true" fillcolor="#cc8b00" stroked="false">
                  <v:fill type="solid"/>
                </v:rect>
                <v:shape style="position:absolute;left:330;top:900;width:1005;height:100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CC8B00"/>
          <w:spacing w:val="-2"/>
        </w:rPr>
        <w:t>Education</w:t>
      </w:r>
    </w:p>
    <w:p>
      <w:pPr>
        <w:spacing w:line="304" w:lineRule="auto" w:before="230"/>
        <w:ind w:left="51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sz w:val="26"/>
        </w:rPr>
        <w:t>Bachelor</w:t>
      </w:r>
      <w:r>
        <w:rPr>
          <w:rFonts w:ascii="Microsoft Sans Serif"/>
          <w:color w:val="58585B"/>
          <w:spacing w:val="-12"/>
          <w:sz w:val="26"/>
        </w:rPr>
        <w:t> </w:t>
      </w:r>
      <w:r>
        <w:rPr>
          <w:rFonts w:ascii="Microsoft Sans Serif"/>
          <w:color w:val="58585B"/>
          <w:sz w:val="26"/>
        </w:rPr>
        <w:t>of</w:t>
      </w:r>
      <w:r>
        <w:rPr>
          <w:rFonts w:ascii="Microsoft Sans Serif"/>
          <w:color w:val="58585B"/>
          <w:spacing w:val="-12"/>
          <w:sz w:val="26"/>
        </w:rPr>
        <w:t> </w:t>
      </w:r>
      <w:r>
        <w:rPr>
          <w:rFonts w:ascii="Microsoft Sans Serif"/>
          <w:color w:val="58585B"/>
          <w:sz w:val="26"/>
        </w:rPr>
        <w:t>Science</w:t>
      </w:r>
      <w:r>
        <w:rPr>
          <w:rFonts w:ascii="Microsoft Sans Serif"/>
          <w:color w:val="58585B"/>
          <w:spacing w:val="-12"/>
          <w:sz w:val="26"/>
        </w:rPr>
        <w:t> </w:t>
      </w:r>
      <w:r>
        <w:rPr>
          <w:rFonts w:ascii="Microsoft Sans Serif"/>
          <w:color w:val="58585B"/>
          <w:sz w:val="26"/>
        </w:rPr>
        <w:t>in</w:t>
      </w:r>
      <w:r>
        <w:rPr>
          <w:rFonts w:ascii="Microsoft Sans Serif"/>
          <w:color w:val="58585B"/>
          <w:spacing w:val="-12"/>
          <w:sz w:val="26"/>
        </w:rPr>
        <w:t> </w:t>
      </w:r>
      <w:r>
        <w:rPr>
          <w:rFonts w:ascii="Microsoft Sans Serif"/>
          <w:color w:val="58585B"/>
          <w:sz w:val="26"/>
        </w:rPr>
        <w:t>Fire </w:t>
      </w:r>
      <w:r>
        <w:rPr>
          <w:rFonts w:ascii="Microsoft Sans Serif"/>
          <w:color w:val="58585B"/>
          <w:spacing w:val="-2"/>
          <w:w w:val="110"/>
          <w:sz w:val="26"/>
        </w:rPr>
        <w:t>Investigation</w:t>
      </w:r>
    </w:p>
    <w:p>
      <w:pPr>
        <w:pStyle w:val="BodyText"/>
        <w:spacing w:line="241" w:lineRule="exact"/>
        <w:ind w:left="51"/>
      </w:pPr>
      <w:r>
        <w:rPr>
          <w:color w:val="58585B"/>
          <w:spacing w:val="2"/>
          <w:w w:val="115"/>
        </w:rPr>
        <w:t>Oklahoma</w:t>
      </w:r>
      <w:r>
        <w:rPr>
          <w:color w:val="58585B"/>
          <w:spacing w:val="53"/>
          <w:w w:val="115"/>
        </w:rPr>
        <w:t> </w:t>
      </w:r>
      <w:r>
        <w:rPr>
          <w:color w:val="58585B"/>
          <w:spacing w:val="2"/>
          <w:w w:val="115"/>
        </w:rPr>
        <w:t>State</w:t>
      </w:r>
      <w:r>
        <w:rPr>
          <w:color w:val="58585B"/>
          <w:spacing w:val="54"/>
          <w:w w:val="115"/>
        </w:rPr>
        <w:t> </w:t>
      </w:r>
      <w:r>
        <w:rPr>
          <w:color w:val="58585B"/>
          <w:spacing w:val="2"/>
          <w:w w:val="115"/>
        </w:rPr>
        <w:t>University</w:t>
      </w:r>
      <w:r>
        <w:rPr>
          <w:color w:val="58585B"/>
          <w:spacing w:val="53"/>
          <w:w w:val="115"/>
        </w:rPr>
        <w:t> </w:t>
      </w:r>
      <w:r>
        <w:rPr>
          <w:color w:val="58585B"/>
          <w:spacing w:val="-10"/>
        </w:rPr>
        <w:t>|</w:t>
      </w:r>
    </w:p>
    <w:p>
      <w:pPr>
        <w:pStyle w:val="BodyText"/>
        <w:spacing w:before="31"/>
        <w:ind w:left="51"/>
      </w:pPr>
      <w:r>
        <w:rPr>
          <w:color w:val="58585B"/>
          <w:w w:val="115"/>
        </w:rPr>
        <w:t>May</w:t>
      </w:r>
      <w:r>
        <w:rPr>
          <w:color w:val="58585B"/>
          <w:spacing w:val="8"/>
          <w:w w:val="115"/>
        </w:rPr>
        <w:t> </w:t>
      </w:r>
      <w:r>
        <w:rPr>
          <w:color w:val="58585B"/>
          <w:spacing w:val="-4"/>
          <w:w w:val="115"/>
        </w:rPr>
        <w:t>2015</w:t>
      </w:r>
    </w:p>
    <w:p>
      <w:pPr>
        <w:pStyle w:val="Heading3"/>
        <w:spacing w:before="114"/>
      </w:pPr>
      <w:r>
        <w:rPr>
          <w:b w:val="0"/>
        </w:rPr>
        <w:br w:type="column"/>
      </w:r>
      <w:r>
        <w:rPr>
          <w:color w:val="58585B"/>
          <w:spacing w:val="-2"/>
          <w:w w:val="105"/>
        </w:rPr>
        <w:t>Firefighter</w:t>
      </w:r>
    </w:p>
    <w:p>
      <w:pPr>
        <w:spacing w:before="5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Broken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Arrow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Fire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Department,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OK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2015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2020</w:t>
      </w:r>
    </w:p>
    <w:p>
      <w:pPr>
        <w:pStyle w:val="BodyText"/>
        <w:tabs>
          <w:tab w:pos="423" w:val="left" w:leader="none"/>
        </w:tabs>
        <w:spacing w:line="268" w:lineRule="auto" w:before="212"/>
        <w:ind w:left="423" w:right="383" w:hanging="360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Responded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structure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fires,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medical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emergencies,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 vehicle rescues</w:t>
      </w:r>
    </w:p>
    <w:p>
      <w:pPr>
        <w:pStyle w:val="BodyText"/>
        <w:tabs>
          <w:tab w:pos="423" w:val="left" w:leader="none"/>
        </w:tabs>
        <w:spacing w:line="268" w:lineRule="auto" w:before="88"/>
        <w:ind w:left="423" w:right="59" w:hanging="360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Participated in post-incident reporting and basic fire scene </w:t>
      </w:r>
      <w:r>
        <w:rPr>
          <w:color w:val="58585B"/>
          <w:spacing w:val="-2"/>
          <w:w w:val="125"/>
        </w:rPr>
        <w:t>documentation</w:t>
      </w:r>
    </w:p>
    <w:sectPr>
      <w:type w:val="continuous"/>
      <w:pgSz w:w="11920" w:h="16860"/>
      <w:pgMar w:top="0" w:bottom="280" w:left="283" w:right="566"/>
      <w:cols w:num="2" w:equalWidth="0">
        <w:col w:w="3153" w:space="864"/>
        <w:col w:w="70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2026-01-14T11:30:01Z</dcterms:created>
  <dcterms:modified xsi:type="dcterms:W3CDTF">2026-01-14T11:30:01Z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