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164"/>
        <w:ind w:left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ragraph">
                  <wp:posOffset>-407390</wp:posOffset>
                </wp:positionV>
                <wp:extent cx="7568565" cy="241871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418715"/>
                          <a:chExt cx="7568565" cy="241871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2418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1871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363027"/>
                                </a:lnTo>
                                <a:lnTo>
                                  <a:pt x="0" y="2418334"/>
                                </a:lnTo>
                                <a:lnTo>
                                  <a:pt x="7568171" y="2418334"/>
                                </a:lnTo>
                                <a:lnTo>
                                  <a:pt x="7568171" y="1363027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45002" y="1443594"/>
                            <a:ext cx="72828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8255">
                                <a:moveTo>
                                  <a:pt x="728236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493019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2.078018pt;width:595.950pt;height:190.45pt;mso-position-horizontal-relative:page;mso-position-vertical-relative:paragraph;z-index:-15781376" id="docshapegroup1" coordorigin="0,-642" coordsize="11919,3809">
                <v:shape style="position:absolute;left:0;top:-642;width:11919;height:3809" id="docshape2" coordorigin="0,-642" coordsize="11919,3809" path="m11918,-642l0,-642,0,-132,0,-117,0,1505,0,3167,11918,3167,11918,1505,11918,-117,11918,-132,11918,-642xe" filled="true" fillcolor="#f1f4f4" stroked="false">
                  <v:path arrowok="t"/>
                  <v:fill type="solid"/>
                </v:shape>
                <v:rect style="position:absolute;left:228;top:1631;width:11469;height:13" id="docshape3" filled="true" fillcolor="#25cde3" stroked="false">
                  <v:fill type="solid"/>
                </v:rect>
                <v:shape style="position:absolute;left:228;top:134;width:686;height:686" type="#_x0000_t75" id="docshape4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color w:val="25CDE3"/>
          <w:w w:val="105"/>
        </w:rPr>
        <w:t>CHRIS</w:t>
      </w:r>
      <w:r>
        <w:rPr>
          <w:color w:val="25CDE3"/>
          <w:spacing w:val="8"/>
          <w:w w:val="105"/>
        </w:rPr>
        <w:t> </w:t>
      </w:r>
      <w:r>
        <w:rPr>
          <w:color w:val="25CDE3"/>
          <w:spacing w:val="-2"/>
          <w:w w:val="105"/>
        </w:rPr>
        <w:t>JACKSON</w:t>
      </w:r>
    </w:p>
    <w:p>
      <w:pPr>
        <w:pStyle w:val="Heading3"/>
      </w:pPr>
      <w:r>
        <w:rPr>
          <w:spacing w:val="-6"/>
        </w:rPr>
        <w:t>Enterprise</w:t>
      </w:r>
      <w:r>
        <w:rPr>
          <w:spacing w:val="-7"/>
        </w:rPr>
        <w:t> </w:t>
      </w:r>
      <w:r>
        <w:rPr>
          <w:spacing w:val="-6"/>
        </w:rPr>
        <w:t>Systems</w:t>
      </w:r>
      <w:r>
        <w:rPr>
          <w:spacing w:val="-7"/>
        </w:rPr>
        <w:t> </w:t>
      </w:r>
      <w:r>
        <w:rPr>
          <w:spacing w:val="-6"/>
        </w:rPr>
        <w:t>Project</w:t>
      </w:r>
      <w:r>
        <w:rPr>
          <w:spacing w:val="-7"/>
        </w:rPr>
        <w:t> </w:t>
      </w:r>
      <w:r>
        <w:rPr>
          <w:spacing w:val="-6"/>
        </w:rPr>
        <w:t>Manager</w:t>
      </w:r>
    </w:p>
    <w:p>
      <w:pPr>
        <w:pStyle w:val="BodyText"/>
        <w:spacing w:line="285" w:lineRule="auto" w:before="125"/>
        <w:ind w:left="975"/>
      </w:pPr>
      <w:r>
        <w:rPr/>
        <w:br w:type="column"/>
      </w:r>
      <w:r>
        <w:rPr>
          <w:color w:val="25CDE3"/>
          <w:w w:val="125"/>
        </w:rPr>
        <w:t>City, ST </w:t>
      </w:r>
      <w:hyperlink r:id="rId6">
        <w:r>
          <w:rPr>
            <w:color w:val="25CDE3"/>
            <w:spacing w:val="-2"/>
            <w:w w:val="125"/>
          </w:rPr>
          <w:t>email@example.com</w:t>
        </w:r>
      </w:hyperlink>
    </w:p>
    <w:p>
      <w:pPr>
        <w:pStyle w:val="BodyText"/>
        <w:spacing w:line="255" w:lineRule="exact"/>
        <w:ind w:left="975"/>
      </w:pPr>
      <w:r>
        <w:rPr>
          <w:color w:val="25CDE3"/>
          <w:w w:val="130"/>
        </w:rPr>
        <w:t>(000)</w:t>
      </w:r>
      <w:r>
        <w:rPr>
          <w:color w:val="25CDE3"/>
          <w:spacing w:val="-4"/>
          <w:w w:val="130"/>
        </w:rPr>
        <w:t> </w:t>
      </w:r>
      <w:r>
        <w:rPr>
          <w:color w:val="25CDE3"/>
          <w:w w:val="130"/>
        </w:rPr>
        <w:t>000-</w:t>
      </w:r>
      <w:r>
        <w:rPr>
          <w:color w:val="25CDE3"/>
          <w:spacing w:val="-4"/>
          <w:w w:val="130"/>
        </w:rPr>
        <w:t>0000</w:t>
      </w:r>
    </w:p>
    <w:p>
      <w:pPr>
        <w:pStyle w:val="BodyText"/>
        <w:spacing w:before="48"/>
        <w:ind w:left="975"/>
      </w:pPr>
      <w:r>
        <w:rPr>
          <w:color w:val="25CDE3"/>
          <w:spacing w:val="-2"/>
          <w:w w:val="130"/>
        </w:rPr>
        <w:t>LinkedIn</w:t>
      </w:r>
    </w:p>
    <w:p>
      <w:pPr>
        <w:pStyle w:val="BodyText"/>
        <w:spacing w:after="0"/>
        <w:sectPr>
          <w:type w:val="continuous"/>
          <w:pgSz w:w="11920" w:h="16860"/>
          <w:pgMar w:top="0" w:bottom="280" w:left="141" w:right="141"/>
          <w:cols w:num="2" w:equalWidth="0">
            <w:col w:w="5607" w:space="2691"/>
            <w:col w:w="3340"/>
          </w:cols>
        </w:sectPr>
      </w:pPr>
    </w:p>
    <w:p>
      <w:pPr>
        <w:pStyle w:val="BodyText"/>
        <w:spacing w:before="223"/>
        <w:ind w:left="0"/>
      </w:pPr>
    </w:p>
    <w:p>
      <w:pPr>
        <w:pStyle w:val="Heading5"/>
      </w:pPr>
      <w:r>
        <w:rPr>
          <w:w w:val="130"/>
        </w:rPr>
        <w:t>Enterprise</w:t>
      </w:r>
      <w:r>
        <w:rPr>
          <w:spacing w:val="-3"/>
          <w:w w:val="130"/>
        </w:rPr>
        <w:t> </w:t>
      </w:r>
      <w:r>
        <w:rPr>
          <w:w w:val="130"/>
        </w:rPr>
        <w:t>IT</w:t>
      </w:r>
      <w:r>
        <w:rPr>
          <w:spacing w:val="-3"/>
          <w:w w:val="130"/>
        </w:rPr>
        <w:t> </w:t>
      </w:r>
      <w:r>
        <w:rPr>
          <w:w w:val="130"/>
        </w:rPr>
        <w:t>Strategist</w:t>
      </w:r>
      <w:r>
        <w:rPr>
          <w:spacing w:val="-3"/>
          <w:w w:val="130"/>
        </w:rPr>
        <w:t> </w:t>
      </w:r>
      <w:r>
        <w:rPr>
          <w:w w:val="130"/>
        </w:rPr>
        <w:t>with</w:t>
      </w:r>
      <w:r>
        <w:rPr>
          <w:spacing w:val="-3"/>
          <w:w w:val="130"/>
        </w:rPr>
        <w:t> </w:t>
      </w:r>
      <w:r>
        <w:rPr>
          <w:w w:val="130"/>
        </w:rPr>
        <w:t>systems</w:t>
      </w:r>
      <w:r>
        <w:rPr>
          <w:spacing w:val="-3"/>
          <w:w w:val="130"/>
        </w:rPr>
        <w:t> </w:t>
      </w:r>
      <w:r>
        <w:rPr>
          <w:w w:val="130"/>
        </w:rPr>
        <w:t>integration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experience</w:t>
      </w:r>
    </w:p>
    <w:p>
      <w:pPr>
        <w:pStyle w:val="BodyText"/>
        <w:spacing w:line="285" w:lineRule="auto" w:before="124"/>
        <w:ind w:left="239" w:right="584"/>
        <w:jc w:val="both"/>
      </w:pPr>
      <w:r>
        <w:rPr>
          <w:w w:val="125"/>
        </w:rPr>
        <w:t>Accomplished Project Manager with 14 years of experience leading ERP implementations and </w:t>
      </w:r>
      <w:r>
        <w:rPr>
          <w:w w:val="125"/>
        </w:rPr>
        <w:t>cross-platform system integrations. Excels in managing stakeholder expectations and translating business needs into scalable technology solutions.</w:t>
      </w:r>
    </w:p>
    <w:p>
      <w:pPr>
        <w:pStyle w:val="BodyText"/>
        <w:ind w:left="0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2"/>
      </w:pPr>
      <w:r>
        <w:rPr>
          <w:color w:val="25CDE3"/>
          <w:spacing w:val="-4"/>
        </w:rPr>
        <w:t>Key</w:t>
      </w:r>
      <w:r>
        <w:rPr>
          <w:color w:val="25CDE3"/>
          <w:spacing w:val="-19"/>
        </w:rPr>
        <w:t> </w:t>
      </w:r>
      <w:r>
        <w:rPr>
          <w:color w:val="25CDE3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7" w:after="0"/>
        <w:ind w:left="391" w:right="0" w:hanging="304"/>
        <w:jc w:val="left"/>
        <w:rPr>
          <w:sz w:val="21"/>
        </w:rPr>
      </w:pPr>
      <w:r>
        <w:rPr>
          <w:color w:val="58585B"/>
          <w:w w:val="125"/>
          <w:sz w:val="21"/>
        </w:rPr>
        <w:t>Enterprise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architecture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85" w:lineRule="auto" w:before="111" w:after="0"/>
        <w:ind w:left="391" w:right="403" w:hanging="305"/>
        <w:jc w:val="left"/>
        <w:rPr>
          <w:sz w:val="21"/>
        </w:rPr>
      </w:pPr>
      <w:r>
        <w:rPr>
          <w:color w:val="58585B"/>
          <w:w w:val="125"/>
          <w:sz w:val="21"/>
        </w:rPr>
        <w:t>ERP system rollout </w:t>
      </w:r>
      <w:r>
        <w:rPr>
          <w:color w:val="58585B"/>
          <w:w w:val="125"/>
          <w:sz w:val="21"/>
        </w:rPr>
        <w:t>(SAP, </w:t>
      </w:r>
      <w:r>
        <w:rPr>
          <w:color w:val="58585B"/>
          <w:spacing w:val="-2"/>
          <w:w w:val="125"/>
          <w:sz w:val="21"/>
        </w:rPr>
        <w:t>Oracle)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63" w:after="0"/>
        <w:ind w:left="391" w:right="0" w:hanging="304"/>
        <w:jc w:val="left"/>
        <w:rPr>
          <w:sz w:val="21"/>
        </w:rPr>
      </w:pPr>
      <w:r>
        <w:rPr>
          <w:color w:val="58585B"/>
          <w:w w:val="120"/>
          <w:sz w:val="21"/>
        </w:rPr>
        <w:t>Middleware</w:t>
      </w:r>
      <w:r>
        <w:rPr>
          <w:color w:val="58585B"/>
          <w:spacing w:val="24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integration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1" w:after="0"/>
        <w:ind w:left="391" w:right="0" w:hanging="304"/>
        <w:jc w:val="left"/>
        <w:rPr>
          <w:sz w:val="21"/>
        </w:rPr>
      </w:pPr>
      <w:r>
        <w:rPr>
          <w:color w:val="58585B"/>
          <w:w w:val="125"/>
          <w:sz w:val="21"/>
        </w:rPr>
        <w:t>Process</w:t>
      </w:r>
      <w:r>
        <w:rPr>
          <w:color w:val="58585B"/>
          <w:spacing w:val="8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reengineering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2" w:after="0"/>
        <w:ind w:left="391" w:right="0" w:hanging="304"/>
        <w:jc w:val="left"/>
        <w:rPr>
          <w:sz w:val="21"/>
        </w:rPr>
      </w:pPr>
      <w:r>
        <w:rPr>
          <w:color w:val="58585B"/>
          <w:w w:val="125"/>
          <w:sz w:val="21"/>
        </w:rPr>
        <w:t>Project</w:t>
      </w:r>
      <w:r>
        <w:rPr>
          <w:color w:val="58585B"/>
          <w:spacing w:val="-9"/>
          <w:w w:val="125"/>
          <w:sz w:val="21"/>
        </w:rPr>
        <w:t> </w:t>
      </w:r>
      <w:r>
        <w:rPr>
          <w:color w:val="58585B"/>
          <w:w w:val="125"/>
          <w:sz w:val="21"/>
        </w:rPr>
        <w:t>portfolio</w:t>
      </w:r>
      <w:r>
        <w:rPr>
          <w:color w:val="58585B"/>
          <w:spacing w:val="-9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oversight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1" w:after="0"/>
        <w:ind w:left="391" w:right="0" w:hanging="304"/>
        <w:jc w:val="left"/>
        <w:rPr>
          <w:sz w:val="21"/>
        </w:rPr>
      </w:pPr>
      <w:r>
        <w:rPr>
          <w:color w:val="58585B"/>
          <w:w w:val="125"/>
          <w:sz w:val="21"/>
        </w:rPr>
        <w:t>Vendor</w:t>
      </w:r>
      <w:r>
        <w:rPr>
          <w:color w:val="58585B"/>
          <w:spacing w:val="-8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negotiations</w:t>
      </w:r>
    </w:p>
    <w:p>
      <w:pPr>
        <w:pStyle w:val="BodyText"/>
        <w:spacing w:before="141"/>
        <w:ind w:left="0"/>
      </w:pPr>
    </w:p>
    <w:p>
      <w:pPr>
        <w:pStyle w:val="Heading2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-118574</wp:posOffset>
                </wp:positionV>
                <wp:extent cx="2586355" cy="825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258635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86355" h="8255">
                              <a:moveTo>
                                <a:pt x="2585885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2585885" y="0"/>
                              </a:lnTo>
                              <a:lnTo>
                                <a:pt x="2585885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9.336553pt;width:203.613034pt;height:.634309pt;mso-position-horizontal-relative:page;mso-position-vertical-relative:paragraph;z-index:15729152" id="docshape5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color w:val="25CDE3"/>
          <w:spacing w:val="-2"/>
        </w:rPr>
        <w:t>Education</w:t>
      </w:r>
    </w:p>
    <w:p>
      <w:pPr>
        <w:spacing w:line="228" w:lineRule="auto" w:before="146"/>
        <w:ind w:left="87" w:right="0" w:firstLine="0"/>
        <w:jc w:val="left"/>
        <w:rPr>
          <w:rFonts w:ascii="Trebuchet MS"/>
          <w:sz w:val="23"/>
        </w:rPr>
      </w:pPr>
      <w:r>
        <w:rPr>
          <w:rFonts w:ascii="Trebuchet MS"/>
          <w:color w:val="58585B"/>
          <w:sz w:val="23"/>
        </w:rPr>
        <w:t>Bachelor</w:t>
      </w:r>
      <w:r>
        <w:rPr>
          <w:rFonts w:ascii="Trebuchet MS"/>
          <w:color w:val="58585B"/>
          <w:spacing w:val="-18"/>
          <w:sz w:val="23"/>
        </w:rPr>
        <w:t> </w:t>
      </w:r>
      <w:r>
        <w:rPr>
          <w:rFonts w:ascii="Trebuchet MS"/>
          <w:color w:val="58585B"/>
          <w:sz w:val="23"/>
        </w:rPr>
        <w:t>of</w:t>
      </w:r>
      <w:r>
        <w:rPr>
          <w:rFonts w:ascii="Trebuchet MS"/>
          <w:color w:val="58585B"/>
          <w:spacing w:val="-17"/>
          <w:sz w:val="23"/>
        </w:rPr>
        <w:t> </w:t>
      </w:r>
      <w:r>
        <w:rPr>
          <w:rFonts w:ascii="Trebuchet MS"/>
          <w:color w:val="58585B"/>
          <w:sz w:val="23"/>
        </w:rPr>
        <w:t>Science</w:t>
      </w:r>
      <w:r>
        <w:rPr>
          <w:rFonts w:ascii="Trebuchet MS"/>
          <w:color w:val="58585B"/>
          <w:spacing w:val="-17"/>
          <w:sz w:val="23"/>
        </w:rPr>
        <w:t> </w:t>
      </w:r>
      <w:r>
        <w:rPr>
          <w:rFonts w:ascii="Trebuchet MS"/>
          <w:color w:val="58585B"/>
          <w:sz w:val="23"/>
        </w:rPr>
        <w:t>in</w:t>
      </w:r>
      <w:r>
        <w:rPr>
          <w:rFonts w:ascii="Trebuchet MS"/>
          <w:color w:val="58585B"/>
          <w:spacing w:val="-18"/>
          <w:sz w:val="23"/>
        </w:rPr>
        <w:t> </w:t>
      </w:r>
      <w:r>
        <w:rPr>
          <w:rFonts w:ascii="Trebuchet MS"/>
          <w:color w:val="58585B"/>
          <w:sz w:val="23"/>
        </w:rPr>
        <w:t>Computer </w:t>
      </w:r>
      <w:r>
        <w:rPr>
          <w:rFonts w:ascii="Trebuchet MS"/>
          <w:color w:val="58585B"/>
          <w:spacing w:val="-2"/>
          <w:sz w:val="23"/>
        </w:rPr>
        <w:t>Science</w:t>
      </w:r>
    </w:p>
    <w:p>
      <w:pPr>
        <w:pStyle w:val="BodyText"/>
        <w:spacing w:line="285" w:lineRule="auto" w:before="69"/>
        <w:ind w:left="87"/>
      </w:pPr>
      <w:r>
        <w:rPr>
          <w:color w:val="58585B"/>
          <w:w w:val="110"/>
        </w:rPr>
        <w:t>University of Minnesota </w:t>
      </w:r>
      <w:r>
        <w:rPr>
          <w:color w:val="58585B"/>
        </w:rPr>
        <w:t>|</w:t>
      </w:r>
      <w:r>
        <w:rPr>
          <w:color w:val="58585B"/>
          <w:spacing w:val="40"/>
          <w:w w:val="110"/>
        </w:rPr>
        <w:t> </w:t>
      </w:r>
      <w:r>
        <w:rPr>
          <w:color w:val="58585B"/>
          <w:w w:val="110"/>
        </w:rPr>
        <w:t>Minneapolis, MN </w:t>
      </w:r>
      <w:r>
        <w:rPr>
          <w:color w:val="58585B"/>
        </w:rPr>
        <w:t>|</w:t>
      </w:r>
      <w:r>
        <w:rPr>
          <w:color w:val="58585B"/>
          <w:w w:val="110"/>
        </w:rPr>
        <w:t> May </w:t>
      </w:r>
      <w:r>
        <w:rPr>
          <w:color w:val="58585B"/>
          <w:w w:val="110"/>
        </w:rPr>
        <w:t>2010</w:t>
      </w:r>
    </w:p>
    <w:p>
      <w:pPr>
        <w:pStyle w:val="Heading2"/>
      </w:pPr>
      <w:r>
        <w:rPr>
          <w:b w:val="0"/>
        </w:rPr>
        <w:br w:type="column"/>
      </w:r>
      <w:r>
        <w:rPr>
          <w:color w:val="25CDE3"/>
        </w:rPr>
        <w:t>Professional </w:t>
      </w:r>
      <w:r>
        <w:rPr>
          <w:color w:val="25CDE3"/>
          <w:spacing w:val="-2"/>
        </w:rPr>
        <w:t>Experience</w:t>
      </w:r>
    </w:p>
    <w:p>
      <w:pPr>
        <w:pStyle w:val="Heading4"/>
      </w:pPr>
      <w:r>
        <w:rPr>
          <w:color w:val="58585B"/>
          <w:spacing w:val="-6"/>
        </w:rPr>
        <w:t>Enterprise</w:t>
      </w:r>
      <w:r>
        <w:rPr>
          <w:color w:val="58585B"/>
          <w:spacing w:val="1"/>
        </w:rPr>
        <w:t> </w:t>
      </w:r>
      <w:r>
        <w:rPr>
          <w:color w:val="58585B"/>
          <w:spacing w:val="-6"/>
        </w:rPr>
        <w:t>Systems</w:t>
      </w:r>
      <w:r>
        <w:rPr>
          <w:color w:val="58585B"/>
          <w:spacing w:val="1"/>
        </w:rPr>
        <w:t> </w:t>
      </w:r>
      <w:r>
        <w:rPr>
          <w:color w:val="58585B"/>
          <w:spacing w:val="-6"/>
        </w:rPr>
        <w:t>Project</w:t>
      </w:r>
      <w:r>
        <w:rPr>
          <w:color w:val="58585B"/>
          <w:spacing w:val="1"/>
        </w:rPr>
        <w:t> </w:t>
      </w:r>
      <w:r>
        <w:rPr>
          <w:color w:val="58585B"/>
          <w:spacing w:val="-6"/>
        </w:rPr>
        <w:t>Manager</w:t>
      </w:r>
    </w:p>
    <w:p>
      <w:pPr>
        <w:spacing w:before="66"/>
        <w:ind w:left="87" w:right="0" w:firstLine="0"/>
        <w:jc w:val="left"/>
        <w:rPr>
          <w:i/>
          <w:sz w:val="21"/>
        </w:rPr>
      </w:pPr>
      <w:r>
        <w:rPr>
          <w:i/>
          <w:color w:val="58585B"/>
          <w:w w:val="120"/>
          <w:sz w:val="21"/>
        </w:rPr>
        <w:t>NovaGrid</w:t>
      </w:r>
      <w:r>
        <w:rPr>
          <w:i/>
          <w:color w:val="58585B"/>
          <w:spacing w:val="7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Tech,</w:t>
      </w:r>
      <w:r>
        <w:rPr>
          <w:i/>
          <w:color w:val="58585B"/>
          <w:spacing w:val="7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Minneapolis,</w:t>
      </w:r>
      <w:r>
        <w:rPr>
          <w:i/>
          <w:color w:val="58585B"/>
          <w:spacing w:val="7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MN</w:t>
      </w:r>
      <w:r>
        <w:rPr>
          <w:i/>
          <w:color w:val="58585B"/>
          <w:spacing w:val="7"/>
          <w:w w:val="120"/>
          <w:sz w:val="21"/>
        </w:rPr>
        <w:t> </w:t>
      </w:r>
      <w:r>
        <w:rPr>
          <w:i/>
          <w:color w:val="58585B"/>
          <w:sz w:val="21"/>
        </w:rPr>
        <w:t>|</w:t>
      </w:r>
      <w:r>
        <w:rPr>
          <w:i/>
          <w:color w:val="58585B"/>
          <w:spacing w:val="7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May</w:t>
      </w:r>
      <w:r>
        <w:rPr>
          <w:i/>
          <w:color w:val="58585B"/>
          <w:spacing w:val="8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2016</w:t>
      </w:r>
      <w:r>
        <w:rPr>
          <w:i/>
          <w:color w:val="58585B"/>
          <w:spacing w:val="7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-</w:t>
      </w:r>
      <w:r>
        <w:rPr>
          <w:i/>
          <w:color w:val="58585B"/>
          <w:spacing w:val="7"/>
          <w:w w:val="120"/>
          <w:sz w:val="21"/>
        </w:rPr>
        <w:t> </w:t>
      </w:r>
      <w:r>
        <w:rPr>
          <w:i/>
          <w:color w:val="58585B"/>
          <w:spacing w:val="-2"/>
          <w:w w:val="120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85" w:lineRule="auto" w:before="175" w:after="0"/>
        <w:ind w:left="391" w:right="815" w:hanging="305"/>
        <w:jc w:val="left"/>
        <w:rPr>
          <w:sz w:val="21"/>
        </w:rPr>
      </w:pPr>
      <w:r>
        <w:rPr>
          <w:color w:val="58585B"/>
          <w:w w:val="125"/>
          <w:sz w:val="21"/>
        </w:rPr>
        <w:t>Delivered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SAP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rollout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across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12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departments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and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5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regional </w:t>
      </w:r>
      <w:r>
        <w:rPr>
          <w:color w:val="58585B"/>
          <w:w w:val="130"/>
          <w:sz w:val="21"/>
        </w:rPr>
        <w:t>ofices within </w:t>
      </w:r>
      <w:r>
        <w:rPr>
          <w:color w:val="58585B"/>
          <w:w w:val="125"/>
          <w:sz w:val="21"/>
        </w:rPr>
        <w:t>18 </w:t>
      </w:r>
      <w:r>
        <w:rPr>
          <w:color w:val="58585B"/>
          <w:w w:val="130"/>
          <w:sz w:val="21"/>
        </w:rPr>
        <w:t>months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85" w:lineRule="auto" w:before="63" w:after="0"/>
        <w:ind w:left="391" w:right="781" w:hanging="305"/>
        <w:jc w:val="left"/>
        <w:rPr>
          <w:sz w:val="21"/>
        </w:rPr>
      </w:pPr>
      <w:r>
        <w:rPr>
          <w:color w:val="58585B"/>
          <w:spacing w:val="-2"/>
          <w:w w:val="130"/>
          <w:sz w:val="21"/>
        </w:rPr>
        <w:t>Increased</w:t>
      </w:r>
      <w:r>
        <w:rPr>
          <w:color w:val="58585B"/>
          <w:spacing w:val="-7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productivity</w:t>
      </w:r>
      <w:r>
        <w:rPr>
          <w:color w:val="58585B"/>
          <w:spacing w:val="-7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by</w:t>
      </w:r>
      <w:r>
        <w:rPr>
          <w:color w:val="58585B"/>
          <w:spacing w:val="-7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22%</w:t>
      </w:r>
      <w:r>
        <w:rPr>
          <w:color w:val="58585B"/>
          <w:spacing w:val="-7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through</w:t>
      </w:r>
      <w:r>
        <w:rPr>
          <w:color w:val="58585B"/>
          <w:spacing w:val="-7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automated</w:t>
      </w:r>
      <w:r>
        <w:rPr>
          <w:color w:val="58585B"/>
          <w:spacing w:val="-7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inancial </w:t>
      </w:r>
      <w:r>
        <w:rPr>
          <w:color w:val="58585B"/>
          <w:w w:val="130"/>
          <w:sz w:val="21"/>
        </w:rPr>
        <w:t>reporting processes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85" w:lineRule="auto" w:before="62" w:after="0"/>
        <w:ind w:left="391" w:right="446" w:hanging="305"/>
        <w:jc w:val="left"/>
        <w:rPr>
          <w:sz w:val="21"/>
        </w:rPr>
      </w:pPr>
      <w:r>
        <w:rPr>
          <w:color w:val="58585B"/>
          <w:w w:val="125"/>
          <w:sz w:val="21"/>
        </w:rPr>
        <w:t>Oversaw system interoperability planning between legacy and new platforms</w:t>
      </w:r>
    </w:p>
    <w:p>
      <w:pPr>
        <w:pStyle w:val="Heading4"/>
        <w:spacing w:before="148"/>
      </w:pPr>
      <w:r>
        <w:rPr>
          <w:color w:val="58585B"/>
          <w:spacing w:val="-8"/>
        </w:rPr>
        <w:t>IT</w:t>
      </w:r>
      <w:r>
        <w:rPr>
          <w:color w:val="58585B"/>
          <w:spacing w:val="-16"/>
        </w:rPr>
        <w:t> </w:t>
      </w:r>
      <w:r>
        <w:rPr>
          <w:color w:val="58585B"/>
          <w:spacing w:val="-8"/>
        </w:rPr>
        <w:t>Project</w:t>
      </w:r>
      <w:r>
        <w:rPr>
          <w:color w:val="58585B"/>
          <w:spacing w:val="-7"/>
        </w:rPr>
        <w:t> </w:t>
      </w:r>
      <w:r>
        <w:rPr>
          <w:color w:val="58585B"/>
          <w:spacing w:val="-8"/>
        </w:rPr>
        <w:t>Manager</w:t>
      </w:r>
    </w:p>
    <w:p>
      <w:pPr>
        <w:spacing w:before="66"/>
        <w:ind w:left="87" w:right="0" w:firstLine="0"/>
        <w:jc w:val="left"/>
        <w:rPr>
          <w:i/>
          <w:sz w:val="21"/>
        </w:rPr>
      </w:pPr>
      <w:r>
        <w:rPr>
          <w:i/>
          <w:color w:val="58585B"/>
          <w:w w:val="120"/>
          <w:sz w:val="21"/>
        </w:rPr>
        <w:t>CoreAxis</w:t>
      </w:r>
      <w:r>
        <w:rPr>
          <w:i/>
          <w:color w:val="58585B"/>
          <w:spacing w:val="15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Tech,</w:t>
      </w:r>
      <w:r>
        <w:rPr>
          <w:i/>
          <w:color w:val="58585B"/>
          <w:spacing w:val="16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San</w:t>
      </w:r>
      <w:r>
        <w:rPr>
          <w:i/>
          <w:color w:val="58585B"/>
          <w:spacing w:val="16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Diego,</w:t>
      </w:r>
      <w:r>
        <w:rPr>
          <w:i/>
          <w:color w:val="58585B"/>
          <w:spacing w:val="16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CA</w:t>
      </w:r>
      <w:r>
        <w:rPr>
          <w:i/>
          <w:color w:val="58585B"/>
          <w:spacing w:val="16"/>
          <w:w w:val="120"/>
          <w:sz w:val="21"/>
        </w:rPr>
        <w:t> </w:t>
      </w:r>
      <w:r>
        <w:rPr>
          <w:i/>
          <w:color w:val="58585B"/>
          <w:sz w:val="21"/>
        </w:rPr>
        <w:t>|</w:t>
      </w:r>
      <w:r>
        <w:rPr>
          <w:i/>
          <w:color w:val="58585B"/>
          <w:spacing w:val="16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May</w:t>
      </w:r>
      <w:r>
        <w:rPr>
          <w:i/>
          <w:color w:val="58585B"/>
          <w:spacing w:val="15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2013</w:t>
      </w:r>
      <w:r>
        <w:rPr>
          <w:i/>
          <w:color w:val="58585B"/>
          <w:spacing w:val="16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-</w:t>
      </w:r>
      <w:r>
        <w:rPr>
          <w:i/>
          <w:color w:val="58585B"/>
          <w:spacing w:val="16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June</w:t>
      </w:r>
      <w:r>
        <w:rPr>
          <w:i/>
          <w:color w:val="58585B"/>
          <w:spacing w:val="16"/>
          <w:w w:val="120"/>
          <w:sz w:val="21"/>
        </w:rPr>
        <w:t> </w:t>
      </w:r>
      <w:r>
        <w:rPr>
          <w:i/>
          <w:color w:val="58585B"/>
          <w:spacing w:val="-4"/>
          <w:w w:val="120"/>
          <w:sz w:val="21"/>
        </w:rPr>
        <w:t>2017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85" w:lineRule="auto" w:before="175" w:after="0"/>
        <w:ind w:left="391" w:right="758" w:hanging="305"/>
        <w:jc w:val="left"/>
        <w:rPr>
          <w:sz w:val="21"/>
        </w:rPr>
      </w:pPr>
      <w:r>
        <w:rPr>
          <w:color w:val="58585B"/>
          <w:w w:val="125"/>
          <w:sz w:val="21"/>
        </w:rPr>
        <w:t>Managed</w:t>
      </w:r>
      <w:r>
        <w:rPr>
          <w:color w:val="58585B"/>
          <w:spacing w:val="-4"/>
          <w:w w:val="125"/>
          <w:sz w:val="21"/>
        </w:rPr>
        <w:t> </w:t>
      </w:r>
      <w:r>
        <w:rPr>
          <w:color w:val="58585B"/>
          <w:w w:val="125"/>
          <w:sz w:val="21"/>
        </w:rPr>
        <w:t>over</w:t>
      </w:r>
      <w:r>
        <w:rPr>
          <w:color w:val="58585B"/>
          <w:spacing w:val="-4"/>
          <w:w w:val="125"/>
          <w:sz w:val="21"/>
        </w:rPr>
        <w:t> </w:t>
      </w:r>
      <w:r>
        <w:rPr>
          <w:color w:val="58585B"/>
          <w:w w:val="125"/>
          <w:sz w:val="21"/>
        </w:rPr>
        <w:t>12</w:t>
      </w:r>
      <w:r>
        <w:rPr>
          <w:color w:val="58585B"/>
          <w:spacing w:val="-4"/>
          <w:w w:val="125"/>
          <w:sz w:val="21"/>
        </w:rPr>
        <w:t> </w:t>
      </w:r>
      <w:r>
        <w:rPr>
          <w:color w:val="58585B"/>
          <w:w w:val="125"/>
          <w:sz w:val="21"/>
        </w:rPr>
        <w:t>concurrent</w:t>
      </w:r>
      <w:r>
        <w:rPr>
          <w:color w:val="58585B"/>
          <w:spacing w:val="-4"/>
          <w:w w:val="125"/>
          <w:sz w:val="21"/>
        </w:rPr>
        <w:t> </w:t>
      </w:r>
      <w:r>
        <w:rPr>
          <w:color w:val="58585B"/>
          <w:w w:val="125"/>
          <w:sz w:val="21"/>
        </w:rPr>
        <w:t>projects,</w:t>
      </w:r>
      <w:r>
        <w:rPr>
          <w:color w:val="58585B"/>
          <w:spacing w:val="-4"/>
          <w:w w:val="125"/>
          <w:sz w:val="21"/>
        </w:rPr>
        <w:t> </w:t>
      </w:r>
      <w:r>
        <w:rPr>
          <w:color w:val="58585B"/>
          <w:w w:val="125"/>
          <w:sz w:val="21"/>
        </w:rPr>
        <w:t>including</w:t>
      </w:r>
      <w:r>
        <w:rPr>
          <w:color w:val="58585B"/>
          <w:spacing w:val="-4"/>
          <w:w w:val="125"/>
          <w:sz w:val="21"/>
        </w:rPr>
        <w:t> </w:t>
      </w:r>
      <w:r>
        <w:rPr>
          <w:color w:val="58585B"/>
          <w:w w:val="125"/>
          <w:sz w:val="21"/>
        </w:rPr>
        <w:t>data</w:t>
      </w:r>
      <w:r>
        <w:rPr>
          <w:color w:val="58585B"/>
          <w:spacing w:val="-4"/>
          <w:w w:val="125"/>
          <w:sz w:val="21"/>
        </w:rPr>
        <w:t> </w:t>
      </w:r>
      <w:r>
        <w:rPr>
          <w:color w:val="58585B"/>
          <w:w w:val="125"/>
          <w:sz w:val="21"/>
        </w:rPr>
        <w:t>center upgrades and mobile app deployments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85" w:lineRule="auto" w:before="62" w:after="0"/>
        <w:ind w:left="391" w:right="265" w:hanging="305"/>
        <w:jc w:val="left"/>
        <w:rPr>
          <w:sz w:val="21"/>
        </w:rPr>
      </w:pPr>
      <w:r>
        <w:rPr>
          <w:color w:val="58585B"/>
          <w:w w:val="125"/>
          <w:sz w:val="21"/>
        </w:rPr>
        <w:t>Delivered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a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cloud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migration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project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10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weeks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ahead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of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schedule, saving $250,000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85" w:lineRule="auto" w:before="62" w:after="0"/>
        <w:ind w:left="391" w:right="773" w:hanging="305"/>
        <w:jc w:val="left"/>
        <w:rPr>
          <w:sz w:val="21"/>
        </w:rPr>
      </w:pPr>
      <w:r>
        <w:rPr>
          <w:color w:val="58585B"/>
          <w:w w:val="125"/>
          <w:sz w:val="21"/>
        </w:rPr>
        <w:t>Created an internal reporting system that improved project visibility and cut delays by 30%</w:t>
      </w:r>
    </w:p>
    <w:sectPr>
      <w:type w:val="continuous"/>
      <w:pgSz w:w="11920" w:h="16860"/>
      <w:pgMar w:top="0" w:bottom="280" w:left="141" w:right="141"/>
      <w:cols w:num="2" w:equalWidth="0">
        <w:col w:w="3444" w:space="628"/>
        <w:col w:w="756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4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4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08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13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17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21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26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30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34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391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7"/>
      <w:ind w:left="975"/>
      <w:outlineLvl w:val="1"/>
    </w:pPr>
    <w:rPr>
      <w:rFonts w:ascii="Trebuchet MS" w:hAnsi="Trebuchet MS" w:eastAsia="Trebuchet MS" w:cs="Trebuchet MS"/>
      <w:b/>
      <w:bCs/>
      <w:sz w:val="58"/>
      <w:szCs w:val="5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1"/>
      <w:ind w:left="87"/>
      <w:outlineLvl w:val="2"/>
    </w:pPr>
    <w:rPr>
      <w:rFonts w:ascii="Trebuchet MS" w:hAnsi="Trebuchet MS" w:eastAsia="Trebuchet MS" w:cs="Trebuchet MS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65"/>
      <w:ind w:left="975"/>
      <w:outlineLvl w:val="3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36"/>
      <w:ind w:left="87"/>
      <w:outlineLvl w:val="4"/>
    </w:pPr>
    <w:rPr>
      <w:rFonts w:ascii="Trebuchet MS" w:hAnsi="Trebuchet MS" w:eastAsia="Trebuchet MS" w:cs="Trebuchet MS"/>
      <w:b/>
      <w:bCs/>
      <w:sz w:val="23"/>
      <w:szCs w:val="23"/>
      <w:lang w:val="en-US" w:eastAsia="en-US" w:bidi="ar-SA"/>
    </w:rPr>
  </w:style>
  <w:style w:styleId="Heading5" w:type="paragraph">
    <w:name w:val="Heading 5"/>
    <w:basedOn w:val="Normal"/>
    <w:uiPriority w:val="1"/>
    <w:qFormat/>
    <w:pPr>
      <w:ind w:left="239"/>
      <w:jc w:val="both"/>
      <w:outlineLvl w:val="5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2"/>
      <w:ind w:left="391" w:hanging="305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2026-01-22T16:41:10Z</dcterms:created>
  <dcterms:modified xsi:type="dcterms:W3CDTF">2026-01-22T16:41:10Z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2026-01-22T00:00:00Z</vt:filetime>
  </property>
  <property fmtid="{D5CDD505-2E9C-101B-9397-08002B2CF9AE}" pid="5" name="Producer">
    <vt:lpwstr>Skia/PDF m121</vt:lpwstr>
  </property>
</Properties>
</file>