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19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640" w:bottom="280" w:left="850" w:right="850"/>
        </w:sectPr>
      </w:pPr>
    </w:p>
    <w:p>
      <w:pPr>
        <w:pStyle w:val="BodyText"/>
        <w:spacing w:before="109"/>
        <w:ind w:left="63"/>
      </w:pPr>
      <w:r>
        <w:rPr>
          <w:w w:val="120"/>
        </w:rPr>
        <w:t>City,</w:t>
      </w:r>
      <w:r>
        <w:rPr>
          <w:spacing w:val="-4"/>
          <w:w w:val="120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61"/>
        <w:ind w:left="63"/>
      </w:pPr>
      <w:r>
        <w:rPr>
          <w:w w:val="130"/>
        </w:rPr>
        <w:t>(000)</w:t>
      </w:r>
      <w:r>
        <w:rPr>
          <w:spacing w:val="-4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before="109"/>
        <w:ind w:left="0" w:right="56"/>
        <w:jc w:val="right"/>
      </w:pPr>
      <w:r>
        <w:rPr/>
        <w:br w:type="column"/>
      </w:r>
      <w:hyperlink r:id="rId5">
        <w:r>
          <w:rPr>
            <w:spacing w:val="-2"/>
            <w:w w:val="125"/>
          </w:rPr>
          <w:t>email@example.com</w:t>
        </w:r>
      </w:hyperlink>
    </w:p>
    <w:p>
      <w:pPr>
        <w:pStyle w:val="BodyText"/>
        <w:spacing w:before="61"/>
        <w:ind w:left="0" w:right="54"/>
        <w:jc w:val="right"/>
      </w:pPr>
      <w:r>
        <w:rPr>
          <w:spacing w:val="-2"/>
          <w:w w:val="130"/>
        </w:rPr>
        <w:t>LinkedIn</w:t>
      </w:r>
    </w:p>
    <w:p>
      <w:pPr>
        <w:pStyle w:val="BodyText"/>
        <w:spacing w:after="0"/>
        <w:jc w:val="right"/>
        <w:sectPr>
          <w:type w:val="continuous"/>
          <w:pgSz w:w="11920" w:h="16860"/>
          <w:pgMar w:top="640" w:bottom="280" w:left="850" w:right="850"/>
          <w:cols w:num="2" w:equalWidth="0">
            <w:col w:w="1776" w:space="6040"/>
            <w:col w:w="2404"/>
          </w:cols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420518</wp:posOffset>
                </wp:positionV>
                <wp:extent cx="7568565" cy="58864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588645"/>
                          <a:chExt cx="7568565" cy="58864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588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88645">
                                <a:moveTo>
                                  <a:pt x="7568183" y="588067"/>
                                </a:moveTo>
                                <a:lnTo>
                                  <a:pt x="0" y="588067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5880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5886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1"/>
                                <w:ind w:left="6" w:right="0" w:firstLine="0"/>
                                <w:jc w:val="center"/>
                                <w:rPr>
                                  <w:rFonts w:ascii="Trebuchet MS"/>
                                  <w:b/>
                                  <w:sz w:val="45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45"/>
                                </w:rPr>
                                <w:t>Blake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32"/>
                                  <w:sz w:val="4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sz w:val="45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before="33"/>
                                <w:ind w:left="6" w:right="0" w:firstLine="0"/>
                                <w:jc w:val="center"/>
                                <w:rPr>
                                  <w:rFonts w:ascii="Trebuchet MS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6"/>
                                  <w:sz w:val="25"/>
                                </w:rPr>
                                <w:t>Cybersecurity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6"/>
                                  <w:sz w:val="25"/>
                                </w:rPr>
                                <w:t>Project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6"/>
                                  <w:sz w:val="25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3.111687pt;width:595.950pt;height:46.35pt;mso-position-horizontal-relative:page;mso-position-vertical-relative:page;z-index:15730176" id="docshapegroup1" coordorigin="0,662" coordsize="11919,927">
                <v:rect style="position:absolute;left:0;top:662;width:11919;height:927" id="docshape2" filled="true" fillcolor="#cc8b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62;width:11919;height:927" type="#_x0000_t202" id="docshape3" filled="false" stroked="false">
                  <v:textbox inset="0,0,0,0">
                    <w:txbxContent>
                      <w:p>
                        <w:pPr>
                          <w:spacing w:before="21"/>
                          <w:ind w:left="6" w:right="0" w:firstLine="0"/>
                          <w:jc w:val="center"/>
                          <w:rPr>
                            <w:rFonts w:ascii="Trebuchet MS"/>
                            <w:b/>
                            <w:sz w:val="45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z w:val="45"/>
                          </w:rPr>
                          <w:t>Blake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32"/>
                            <w:sz w:val="45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sz w:val="45"/>
                          </w:rPr>
                          <w:t>Allen</w:t>
                        </w:r>
                      </w:p>
                      <w:p>
                        <w:pPr>
                          <w:spacing w:before="33"/>
                          <w:ind w:left="6" w:right="0" w:firstLine="0"/>
                          <w:jc w:val="center"/>
                          <w:rPr>
                            <w:rFonts w:ascii="Trebuchet MS"/>
                            <w:b/>
                            <w:sz w:val="25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-6"/>
                            <w:sz w:val="25"/>
                          </w:rPr>
                          <w:t>Cybersecurity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z w:val="25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6"/>
                            <w:sz w:val="25"/>
                          </w:rPr>
                          <w:t>Project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z w:val="25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6"/>
                            <w:sz w:val="25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</w:rPr>
        <w:t>Cybersecurity-focused</w:t>
      </w:r>
      <w:r>
        <w:rPr>
          <w:spacing w:val="5"/>
          <w:w w:val="130"/>
        </w:rPr>
        <w:t> </w:t>
      </w:r>
      <w:r>
        <w:rPr>
          <w:w w:val="130"/>
        </w:rPr>
        <w:t>Project</w:t>
      </w:r>
      <w:r>
        <w:rPr>
          <w:spacing w:val="5"/>
          <w:w w:val="130"/>
        </w:rPr>
        <w:t> </w:t>
      </w:r>
      <w:r>
        <w:rPr>
          <w:w w:val="130"/>
        </w:rPr>
        <w:t>Leader</w:t>
      </w:r>
      <w:r>
        <w:rPr>
          <w:spacing w:val="6"/>
          <w:w w:val="130"/>
        </w:rPr>
        <w:t> </w:t>
      </w:r>
      <w:r>
        <w:rPr>
          <w:w w:val="130"/>
        </w:rPr>
        <w:t>protecting</w:t>
      </w:r>
      <w:r>
        <w:rPr>
          <w:spacing w:val="5"/>
          <w:w w:val="130"/>
        </w:rPr>
        <w:t> </w:t>
      </w:r>
      <w:r>
        <w:rPr>
          <w:w w:val="130"/>
        </w:rPr>
        <w:t>organizations</w:t>
      </w:r>
      <w:r>
        <w:rPr>
          <w:spacing w:val="5"/>
          <w:w w:val="130"/>
        </w:rPr>
        <w:t> </w:t>
      </w:r>
      <w:r>
        <w:rPr>
          <w:w w:val="130"/>
        </w:rPr>
        <w:t>from</w:t>
      </w:r>
      <w:r>
        <w:rPr>
          <w:spacing w:val="6"/>
          <w:w w:val="130"/>
        </w:rPr>
        <w:t> </w:t>
      </w:r>
      <w:r>
        <w:rPr>
          <w:w w:val="130"/>
        </w:rPr>
        <w:t>digital</w:t>
      </w:r>
      <w:r>
        <w:rPr>
          <w:spacing w:val="5"/>
          <w:w w:val="130"/>
        </w:rPr>
        <w:t> </w:t>
      </w:r>
      <w:r>
        <w:rPr>
          <w:spacing w:val="-2"/>
          <w:w w:val="130"/>
        </w:rPr>
        <w:t>threats</w:t>
      </w:r>
    </w:p>
    <w:p>
      <w:pPr>
        <w:pStyle w:val="BodyText"/>
        <w:spacing w:line="261" w:lineRule="auto"/>
        <w:ind w:left="63"/>
      </w:pPr>
      <w:r>
        <w:rPr>
          <w:w w:val="125"/>
        </w:rPr>
        <w:t>Dedicated IT Project Manager with 10 years of experience delivering security solutions, compliance upgrades, and incident response frameworks across government and </w:t>
      </w:r>
      <w:r>
        <w:rPr>
          <w:w w:val="125"/>
        </w:rPr>
        <w:t>financial sectors. Proven ability to drive cybersecurity initiatives that reduce risk exposure and strengthen organizational resilience.</w:t>
      </w:r>
    </w:p>
    <w:p>
      <w:pPr>
        <w:pStyle w:val="BodyText"/>
        <w:spacing w:before="3"/>
        <w:ind w:left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580011</wp:posOffset>
                </wp:positionH>
                <wp:positionV relativeFrom="paragraph">
                  <wp:posOffset>118349</wp:posOffset>
                </wp:positionV>
                <wp:extent cx="6412865" cy="1651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412865" cy="16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16510">
                              <a:moveTo>
                                <a:pt x="6412351" y="16111"/>
                              </a:moveTo>
                              <a:lnTo>
                                <a:pt x="0" y="16111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16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9.318821pt;width:504.90958pt;height:1.268617pt;mso-position-horizontal-relative:page;mso-position-vertical-relative:paragraph;z-index:-15728640;mso-wrap-distance-left:0;mso-wrap-distance-right:0" id="docshape4" filled="true" fillcolor="#cc8b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CC8B00"/>
          <w:spacing w:val="-10"/>
        </w:rPr>
        <w:t>Key </w:t>
      </w:r>
      <w:r>
        <w:rPr>
          <w:color w:val="CC8B00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0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Compliance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governance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(NIST,</w:t>
      </w:r>
      <w:r>
        <w:rPr>
          <w:spacing w:val="11"/>
          <w:w w:val="125"/>
          <w:sz w:val="21"/>
        </w:rPr>
        <w:t> </w:t>
      </w:r>
      <w:r>
        <w:rPr>
          <w:spacing w:val="-4"/>
          <w:w w:val="125"/>
          <w:sz w:val="21"/>
        </w:rPr>
        <w:t>ISO)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Cybersecurity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program</w:t>
      </w:r>
      <w:r>
        <w:rPr>
          <w:spacing w:val="16"/>
          <w:w w:val="125"/>
          <w:sz w:val="21"/>
        </w:rPr>
        <w:t> </w:t>
      </w:r>
      <w:r>
        <w:rPr>
          <w:spacing w:val="-2"/>
          <w:w w:val="125"/>
          <w:sz w:val="21"/>
        </w:rPr>
        <w:t>rollout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Incident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response</w:t>
      </w:r>
      <w:r>
        <w:rPr>
          <w:spacing w:val="13"/>
          <w:w w:val="125"/>
          <w:sz w:val="21"/>
        </w:rPr>
        <w:t> </w:t>
      </w:r>
      <w:r>
        <w:rPr>
          <w:spacing w:val="-2"/>
          <w:w w:val="125"/>
          <w:sz w:val="21"/>
        </w:rPr>
        <w:t>planning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Penetration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testing</w:t>
      </w:r>
      <w:r>
        <w:rPr>
          <w:spacing w:val="12"/>
          <w:w w:val="125"/>
          <w:sz w:val="21"/>
        </w:rPr>
        <w:t> </w:t>
      </w:r>
      <w:r>
        <w:rPr>
          <w:spacing w:val="-2"/>
          <w:w w:val="125"/>
          <w:sz w:val="21"/>
        </w:rPr>
        <w:t>oversight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8" w:after="0"/>
        <w:ind w:left="367" w:right="0" w:hanging="291"/>
        <w:jc w:val="left"/>
        <w:rPr>
          <w:sz w:val="21"/>
        </w:rPr>
      </w:pPr>
      <w:r>
        <w:rPr>
          <w:w w:val="130"/>
          <w:sz w:val="21"/>
        </w:rPr>
        <w:t>Risk</w:t>
      </w:r>
      <w:r>
        <w:rPr>
          <w:spacing w:val="-6"/>
          <w:w w:val="130"/>
          <w:sz w:val="21"/>
        </w:rPr>
        <w:t> </w:t>
      </w:r>
      <w:r>
        <w:rPr>
          <w:w w:val="130"/>
          <w:sz w:val="21"/>
        </w:rPr>
        <w:t>mitigation</w:t>
      </w:r>
      <w:r>
        <w:rPr>
          <w:spacing w:val="-5"/>
          <w:w w:val="130"/>
          <w:sz w:val="21"/>
        </w:rPr>
        <w:t> </w:t>
      </w:r>
      <w:r>
        <w:rPr>
          <w:spacing w:val="-2"/>
          <w:w w:val="130"/>
          <w:sz w:val="21"/>
        </w:rPr>
        <w:t>strategy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Security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operations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center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(SOC)</w:t>
      </w:r>
      <w:r>
        <w:rPr>
          <w:spacing w:val="3"/>
          <w:w w:val="125"/>
          <w:sz w:val="21"/>
        </w:rPr>
        <w:t> </w:t>
      </w:r>
      <w:r>
        <w:rPr>
          <w:spacing w:val="-2"/>
          <w:w w:val="125"/>
          <w:sz w:val="21"/>
        </w:rPr>
        <w:t>coordination</w:t>
      </w:r>
    </w:p>
    <w:p>
      <w:pPr>
        <w:pStyle w:val="BodyText"/>
        <w:spacing w:before="3"/>
        <w:ind w:left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580011</wp:posOffset>
                </wp:positionH>
                <wp:positionV relativeFrom="paragraph">
                  <wp:posOffset>133754</wp:posOffset>
                </wp:positionV>
                <wp:extent cx="6412865" cy="1651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412865" cy="16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16510">
                              <a:moveTo>
                                <a:pt x="6412351" y="16111"/>
                              </a:moveTo>
                              <a:lnTo>
                                <a:pt x="0" y="16111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16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0.531866pt;width:504.90958pt;height:1.268617pt;mso-position-horizontal-relative:page;mso-position-vertical-relative:paragraph;z-index:-15728128;mso-wrap-distance-left:0;mso-wrap-distance-right:0" id="docshape5" filled="true" fillcolor="#cc8b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CC8B00"/>
          <w:spacing w:val="-2"/>
        </w:rPr>
        <w:t>Professional</w:t>
      </w:r>
      <w:r>
        <w:rPr>
          <w:color w:val="CC8B00"/>
          <w:spacing w:val="-9"/>
        </w:rPr>
        <w:t> </w:t>
      </w:r>
      <w:r>
        <w:rPr>
          <w:color w:val="CC8B00"/>
          <w:spacing w:val="-2"/>
        </w:rPr>
        <w:t>Experience</w:t>
      </w:r>
    </w:p>
    <w:p>
      <w:pPr>
        <w:pStyle w:val="Heading2"/>
      </w:pPr>
      <w:r>
        <w:rPr>
          <w:w w:val="90"/>
        </w:rPr>
        <w:t>Cybersecurity</w:t>
      </w:r>
      <w:r>
        <w:rPr>
          <w:spacing w:val="33"/>
        </w:rPr>
        <w:t> </w:t>
      </w:r>
      <w:r>
        <w:rPr>
          <w:w w:val="90"/>
        </w:rPr>
        <w:t>Project</w:t>
      </w:r>
      <w:r>
        <w:rPr>
          <w:spacing w:val="34"/>
        </w:rPr>
        <w:t> </w:t>
      </w:r>
      <w:r>
        <w:rPr>
          <w:spacing w:val="-2"/>
          <w:w w:val="90"/>
        </w:rPr>
        <w:t>Manager</w:t>
      </w:r>
    </w:p>
    <w:p>
      <w:pPr>
        <w:tabs>
          <w:tab w:pos="8127" w:val="left" w:leader="none"/>
        </w:tabs>
        <w:spacing w:before="66"/>
        <w:ind w:left="6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TrustSec</w:t>
      </w:r>
      <w:r>
        <w:rPr>
          <w:i/>
          <w:spacing w:val="11"/>
          <w:w w:val="125"/>
          <w:sz w:val="21"/>
        </w:rPr>
        <w:t> </w:t>
      </w:r>
      <w:r>
        <w:rPr>
          <w:i/>
          <w:w w:val="125"/>
          <w:sz w:val="21"/>
        </w:rPr>
        <w:t>Solutions,</w:t>
      </w:r>
      <w:r>
        <w:rPr>
          <w:i/>
          <w:spacing w:val="11"/>
          <w:w w:val="125"/>
          <w:sz w:val="21"/>
        </w:rPr>
        <w:t> </w:t>
      </w:r>
      <w:r>
        <w:rPr>
          <w:i/>
          <w:w w:val="125"/>
          <w:sz w:val="21"/>
        </w:rPr>
        <w:t>Charlotte,</w:t>
      </w:r>
      <w:r>
        <w:rPr>
          <w:i/>
          <w:spacing w:val="12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NC</w:t>
      </w:r>
      <w:r>
        <w:rPr>
          <w:i/>
          <w:sz w:val="21"/>
        </w:rPr>
        <w:tab/>
      </w:r>
      <w:r>
        <w:rPr>
          <w:i/>
          <w:w w:val="120"/>
          <w:sz w:val="21"/>
        </w:rPr>
        <w:t>May</w:t>
      </w:r>
      <w:r>
        <w:rPr>
          <w:i/>
          <w:spacing w:val="-7"/>
          <w:w w:val="120"/>
          <w:sz w:val="21"/>
        </w:rPr>
        <w:t> </w:t>
      </w:r>
      <w:r>
        <w:rPr>
          <w:i/>
          <w:w w:val="120"/>
          <w:sz w:val="21"/>
        </w:rPr>
        <w:t>2018</w:t>
      </w:r>
      <w:r>
        <w:rPr>
          <w:i/>
          <w:spacing w:val="-6"/>
          <w:w w:val="120"/>
          <w:sz w:val="21"/>
        </w:rPr>
        <w:t> </w:t>
      </w:r>
      <w:r>
        <w:rPr>
          <w:i/>
          <w:w w:val="120"/>
          <w:sz w:val="21"/>
        </w:rPr>
        <w:t>-</w:t>
      </w:r>
      <w:r>
        <w:rPr>
          <w:i/>
          <w:spacing w:val="-7"/>
          <w:w w:val="120"/>
          <w:sz w:val="21"/>
        </w:rPr>
        <w:t> </w:t>
      </w:r>
      <w:r>
        <w:rPr>
          <w:i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61" w:lineRule="auto" w:before="99" w:after="0"/>
        <w:ind w:left="367" w:right="750" w:hanging="292"/>
        <w:jc w:val="left"/>
        <w:rPr>
          <w:sz w:val="21"/>
        </w:rPr>
      </w:pPr>
      <w:r>
        <w:rPr>
          <w:w w:val="125"/>
          <w:sz w:val="21"/>
        </w:rPr>
        <w:t>Led enterprise vulnerability assessment program, reducing open critical risks by 80% within six months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61" w:lineRule="auto" w:before="63" w:after="0"/>
        <w:ind w:left="367" w:right="1846" w:hanging="292"/>
        <w:jc w:val="left"/>
        <w:rPr>
          <w:sz w:val="21"/>
        </w:rPr>
      </w:pPr>
      <w:r>
        <w:rPr>
          <w:w w:val="125"/>
          <w:sz w:val="21"/>
        </w:rPr>
        <w:t>Oversaw</w:t>
      </w:r>
      <w:r>
        <w:rPr>
          <w:spacing w:val="-11"/>
          <w:w w:val="125"/>
          <w:sz w:val="21"/>
        </w:rPr>
        <w:t> </w:t>
      </w:r>
      <w:r>
        <w:rPr>
          <w:w w:val="125"/>
          <w:sz w:val="21"/>
        </w:rPr>
        <w:t>rollout</w:t>
      </w:r>
      <w:r>
        <w:rPr>
          <w:spacing w:val="-11"/>
          <w:w w:val="125"/>
          <w:sz w:val="21"/>
        </w:rPr>
        <w:t> </w:t>
      </w:r>
      <w:r>
        <w:rPr>
          <w:w w:val="125"/>
          <w:sz w:val="21"/>
        </w:rPr>
        <w:t>of</w:t>
      </w:r>
      <w:r>
        <w:rPr>
          <w:spacing w:val="-11"/>
          <w:w w:val="125"/>
          <w:sz w:val="21"/>
        </w:rPr>
        <w:t> </w:t>
      </w:r>
      <w:r>
        <w:rPr>
          <w:w w:val="125"/>
          <w:sz w:val="21"/>
        </w:rPr>
        <w:t>multifactor</w:t>
      </w:r>
      <w:r>
        <w:rPr>
          <w:spacing w:val="-11"/>
          <w:w w:val="125"/>
          <w:sz w:val="21"/>
        </w:rPr>
        <w:t> </w:t>
      </w:r>
      <w:r>
        <w:rPr>
          <w:w w:val="125"/>
          <w:sz w:val="21"/>
        </w:rPr>
        <w:t>authentication</w:t>
      </w:r>
      <w:r>
        <w:rPr>
          <w:spacing w:val="-11"/>
          <w:w w:val="125"/>
          <w:sz w:val="21"/>
        </w:rPr>
        <w:t> </w:t>
      </w:r>
      <w:r>
        <w:rPr>
          <w:w w:val="125"/>
          <w:sz w:val="21"/>
        </w:rPr>
        <w:t>across</w:t>
      </w:r>
      <w:r>
        <w:rPr>
          <w:spacing w:val="-11"/>
          <w:w w:val="125"/>
          <w:sz w:val="21"/>
        </w:rPr>
        <w:t> </w:t>
      </w:r>
      <w:r>
        <w:rPr>
          <w:w w:val="125"/>
          <w:sz w:val="21"/>
        </w:rPr>
        <w:t>1,500+</w:t>
      </w:r>
      <w:r>
        <w:rPr>
          <w:spacing w:val="-11"/>
          <w:w w:val="125"/>
          <w:sz w:val="21"/>
        </w:rPr>
        <w:t> </w:t>
      </w:r>
      <w:r>
        <w:rPr>
          <w:w w:val="125"/>
          <w:sz w:val="21"/>
        </w:rPr>
        <w:t>users</w:t>
      </w:r>
      <w:r>
        <w:rPr>
          <w:spacing w:val="-11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-11"/>
          <w:w w:val="125"/>
          <w:sz w:val="21"/>
        </w:rPr>
        <w:t> </w:t>
      </w:r>
      <w:r>
        <w:rPr>
          <w:w w:val="125"/>
          <w:sz w:val="21"/>
        </w:rPr>
        <w:t>zero implementation issues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63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Partnered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legal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compliance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ensure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full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ISO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27001</w:t>
      </w:r>
      <w:r>
        <w:rPr>
          <w:spacing w:val="2"/>
          <w:w w:val="125"/>
          <w:sz w:val="21"/>
        </w:rPr>
        <w:t> </w:t>
      </w:r>
      <w:r>
        <w:rPr>
          <w:spacing w:val="-2"/>
          <w:w w:val="125"/>
          <w:sz w:val="21"/>
        </w:rPr>
        <w:t>readiness</w:t>
      </w:r>
    </w:p>
    <w:p>
      <w:pPr>
        <w:pStyle w:val="Heading2"/>
        <w:spacing w:before="108"/>
      </w:pPr>
      <w:r>
        <w:rPr/>
        <w:t>IT</w:t>
      </w:r>
      <w:r>
        <w:rPr>
          <w:spacing w:val="-17"/>
        </w:rPr>
        <w:t> </w:t>
      </w:r>
      <w:r>
        <w:rPr/>
        <w:t>Risk</w:t>
      </w:r>
      <w:r>
        <w:rPr>
          <w:spacing w:val="-10"/>
        </w:rPr>
        <w:t> </w:t>
      </w:r>
      <w:r>
        <w:rPr>
          <w:spacing w:val="-2"/>
        </w:rPr>
        <w:t>Coordinator</w:t>
      </w:r>
    </w:p>
    <w:p>
      <w:pPr>
        <w:tabs>
          <w:tab w:pos="7602" w:val="left" w:leader="none"/>
        </w:tabs>
        <w:spacing w:before="66"/>
        <w:ind w:left="6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Atlantic</w:t>
      </w:r>
      <w:r>
        <w:rPr>
          <w:i/>
          <w:spacing w:val="17"/>
          <w:w w:val="125"/>
          <w:sz w:val="21"/>
        </w:rPr>
        <w:t> </w:t>
      </w:r>
      <w:r>
        <w:rPr>
          <w:i/>
          <w:w w:val="125"/>
          <w:sz w:val="21"/>
        </w:rPr>
        <w:t>Financial</w:t>
      </w:r>
      <w:r>
        <w:rPr>
          <w:i/>
          <w:spacing w:val="18"/>
          <w:w w:val="125"/>
          <w:sz w:val="21"/>
        </w:rPr>
        <w:t> </w:t>
      </w:r>
      <w:r>
        <w:rPr>
          <w:i/>
          <w:w w:val="125"/>
          <w:sz w:val="21"/>
        </w:rPr>
        <w:t>Group,</w:t>
      </w:r>
      <w:r>
        <w:rPr>
          <w:i/>
          <w:spacing w:val="18"/>
          <w:w w:val="125"/>
          <w:sz w:val="21"/>
        </w:rPr>
        <w:t> </w:t>
      </w:r>
      <w:r>
        <w:rPr>
          <w:i/>
          <w:w w:val="125"/>
          <w:sz w:val="21"/>
        </w:rPr>
        <w:t>Charlotte,</w:t>
      </w:r>
      <w:r>
        <w:rPr>
          <w:i/>
          <w:spacing w:val="18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NC</w:t>
      </w:r>
      <w:r>
        <w:rPr>
          <w:i/>
          <w:sz w:val="21"/>
        </w:rPr>
        <w:tab/>
      </w:r>
      <w:r>
        <w:rPr>
          <w:i/>
          <w:w w:val="125"/>
          <w:sz w:val="21"/>
        </w:rPr>
        <w:t>August</w:t>
      </w:r>
      <w:r>
        <w:rPr>
          <w:i/>
          <w:spacing w:val="-6"/>
          <w:w w:val="125"/>
          <w:sz w:val="21"/>
        </w:rPr>
        <w:t> </w:t>
      </w:r>
      <w:r>
        <w:rPr>
          <w:i/>
          <w:w w:val="125"/>
          <w:sz w:val="21"/>
        </w:rPr>
        <w:t>2014</w:t>
      </w:r>
      <w:r>
        <w:rPr>
          <w:i/>
          <w:spacing w:val="-6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-6"/>
          <w:w w:val="125"/>
          <w:sz w:val="21"/>
        </w:rPr>
        <w:t> </w:t>
      </w:r>
      <w:r>
        <w:rPr>
          <w:i/>
          <w:w w:val="125"/>
          <w:sz w:val="21"/>
        </w:rPr>
        <w:t>April</w:t>
      </w:r>
      <w:r>
        <w:rPr>
          <w:i/>
          <w:spacing w:val="-6"/>
          <w:w w:val="125"/>
          <w:sz w:val="21"/>
        </w:rPr>
        <w:t> </w:t>
      </w:r>
      <w:r>
        <w:rPr>
          <w:i/>
          <w:spacing w:val="-4"/>
          <w:w w:val="125"/>
          <w:sz w:val="21"/>
        </w:rPr>
        <w:t>2018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Coordinated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SOC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2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audit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preparation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internal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training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300+</w:t>
      </w:r>
      <w:r>
        <w:rPr>
          <w:spacing w:val="2"/>
          <w:w w:val="125"/>
          <w:sz w:val="21"/>
        </w:rPr>
        <w:t> </w:t>
      </w:r>
      <w:r>
        <w:rPr>
          <w:spacing w:val="-2"/>
          <w:w w:val="125"/>
          <w:sz w:val="21"/>
        </w:rPr>
        <w:t>employees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Managed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vendor</w:t>
      </w:r>
      <w:r>
        <w:rPr>
          <w:spacing w:val="18"/>
          <w:w w:val="125"/>
          <w:sz w:val="21"/>
        </w:rPr>
        <w:t> </w:t>
      </w:r>
      <w:r>
        <w:rPr>
          <w:w w:val="125"/>
          <w:sz w:val="21"/>
        </w:rPr>
        <w:t>access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policy</w:t>
      </w:r>
      <w:r>
        <w:rPr>
          <w:spacing w:val="18"/>
          <w:w w:val="125"/>
          <w:sz w:val="21"/>
        </w:rPr>
        <w:t> </w:t>
      </w:r>
      <w:r>
        <w:rPr>
          <w:w w:val="125"/>
          <w:sz w:val="21"/>
        </w:rPr>
        <w:t>implementation</w:t>
      </w:r>
      <w:r>
        <w:rPr>
          <w:spacing w:val="18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regular</w:t>
      </w:r>
      <w:r>
        <w:rPr>
          <w:spacing w:val="18"/>
          <w:w w:val="125"/>
          <w:sz w:val="21"/>
        </w:rPr>
        <w:t> </w:t>
      </w:r>
      <w:r>
        <w:rPr>
          <w:w w:val="125"/>
          <w:sz w:val="21"/>
        </w:rPr>
        <w:t>compliance</w:t>
      </w:r>
      <w:r>
        <w:rPr>
          <w:spacing w:val="18"/>
          <w:w w:val="125"/>
          <w:sz w:val="21"/>
        </w:rPr>
        <w:t> </w:t>
      </w:r>
      <w:r>
        <w:rPr>
          <w:spacing w:val="-2"/>
          <w:w w:val="125"/>
          <w:sz w:val="21"/>
        </w:rPr>
        <w:t>reviews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Collaborated with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CISO to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draft breach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response</w:t>
      </w:r>
      <w:r>
        <w:rPr>
          <w:spacing w:val="1"/>
          <w:w w:val="125"/>
          <w:sz w:val="21"/>
        </w:rPr>
        <w:t> </w:t>
      </w:r>
      <w:r>
        <w:rPr>
          <w:spacing w:val="-2"/>
          <w:w w:val="125"/>
          <w:sz w:val="21"/>
        </w:rPr>
        <w:t>protocols</w:t>
      </w:r>
    </w:p>
    <w:p>
      <w:pPr>
        <w:pStyle w:val="BodyText"/>
        <w:spacing w:before="3"/>
        <w:ind w:left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580011</wp:posOffset>
                </wp:positionH>
                <wp:positionV relativeFrom="paragraph">
                  <wp:posOffset>133599</wp:posOffset>
                </wp:positionV>
                <wp:extent cx="6412865" cy="1651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12865" cy="16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16510">
                              <a:moveTo>
                                <a:pt x="6412351" y="16111"/>
                              </a:moveTo>
                              <a:lnTo>
                                <a:pt x="0" y="16111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16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0.519683pt;width:504.90958pt;height:1.268617pt;mso-position-horizontal-relative:page;mso-position-vertical-relative:paragraph;z-index:-15727616;mso-wrap-distance-left:0;mso-wrap-distance-right:0" id="docshape6" filled="true" fillcolor="#cc8b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6"/>
      </w:pPr>
      <w:r>
        <w:rPr>
          <w:color w:val="CC8B00"/>
          <w:spacing w:val="-2"/>
        </w:rPr>
        <w:t>Education</w:t>
      </w:r>
    </w:p>
    <w:p>
      <w:pPr>
        <w:spacing w:line="326" w:lineRule="auto" w:before="90"/>
        <w:ind w:left="63" w:right="1541" w:firstLine="0"/>
        <w:jc w:val="left"/>
        <w:rPr>
          <w:sz w:val="21"/>
        </w:rPr>
      </w:pPr>
      <w:r>
        <w:rPr>
          <w:rFonts w:ascii="Trebuchet MS"/>
          <w:b/>
          <w:sz w:val="23"/>
        </w:rPr>
        <w:t>Bachelor</w:t>
      </w:r>
      <w:r>
        <w:rPr>
          <w:rFonts w:ascii="Trebuchet MS"/>
          <w:b/>
          <w:spacing w:val="-18"/>
          <w:sz w:val="23"/>
        </w:rPr>
        <w:t> </w:t>
      </w:r>
      <w:r>
        <w:rPr>
          <w:rFonts w:ascii="Trebuchet MS"/>
          <w:b/>
          <w:sz w:val="23"/>
        </w:rPr>
        <w:t>of</w:t>
      </w:r>
      <w:r>
        <w:rPr>
          <w:rFonts w:ascii="Trebuchet MS"/>
          <w:b/>
          <w:spacing w:val="-17"/>
          <w:sz w:val="23"/>
        </w:rPr>
        <w:t> </w:t>
      </w:r>
      <w:r>
        <w:rPr>
          <w:rFonts w:ascii="Trebuchet MS"/>
          <w:b/>
          <w:sz w:val="23"/>
        </w:rPr>
        <w:t>Science</w:t>
      </w:r>
      <w:r>
        <w:rPr>
          <w:rFonts w:ascii="Trebuchet MS"/>
          <w:b/>
          <w:spacing w:val="-17"/>
          <w:sz w:val="23"/>
        </w:rPr>
        <w:t> </w:t>
      </w:r>
      <w:r>
        <w:rPr>
          <w:rFonts w:ascii="Trebuchet MS"/>
          <w:b/>
          <w:sz w:val="23"/>
        </w:rPr>
        <w:t>in</w:t>
      </w:r>
      <w:r>
        <w:rPr>
          <w:rFonts w:ascii="Trebuchet MS"/>
          <w:b/>
          <w:spacing w:val="-18"/>
          <w:sz w:val="23"/>
        </w:rPr>
        <w:t> </w:t>
      </w:r>
      <w:r>
        <w:rPr>
          <w:rFonts w:ascii="Trebuchet MS"/>
          <w:b/>
          <w:sz w:val="23"/>
        </w:rPr>
        <w:t>Cybersecurity</w:t>
      </w:r>
      <w:r>
        <w:rPr>
          <w:rFonts w:ascii="Trebuchet MS"/>
          <w:b/>
          <w:spacing w:val="-17"/>
          <w:sz w:val="23"/>
        </w:rPr>
        <w:t> </w:t>
      </w:r>
      <w:r>
        <w:rPr>
          <w:rFonts w:ascii="Trebuchet MS"/>
          <w:b/>
          <w:sz w:val="23"/>
        </w:rPr>
        <w:t>and</w:t>
      </w:r>
      <w:r>
        <w:rPr>
          <w:rFonts w:ascii="Trebuchet MS"/>
          <w:b/>
          <w:spacing w:val="-17"/>
          <w:sz w:val="23"/>
        </w:rPr>
        <w:t> </w:t>
      </w:r>
      <w:r>
        <w:rPr>
          <w:rFonts w:ascii="Trebuchet MS"/>
          <w:b/>
          <w:sz w:val="23"/>
        </w:rPr>
        <w:t>Information</w:t>
      </w:r>
      <w:r>
        <w:rPr>
          <w:rFonts w:ascii="Trebuchet MS"/>
          <w:b/>
          <w:spacing w:val="-18"/>
          <w:sz w:val="23"/>
        </w:rPr>
        <w:t> </w:t>
      </w:r>
      <w:r>
        <w:rPr>
          <w:rFonts w:ascii="Trebuchet MS"/>
          <w:b/>
          <w:sz w:val="23"/>
        </w:rPr>
        <w:t>Assurance</w:t>
      </w:r>
      <w:r>
        <w:rPr>
          <w:rFonts w:ascii="Trebuchet MS"/>
          <w:b/>
          <w:spacing w:val="4"/>
          <w:sz w:val="23"/>
        </w:rPr>
        <w:t> </w:t>
      </w:r>
      <w:r>
        <w:rPr>
          <w:sz w:val="21"/>
        </w:rPr>
        <w:t>May</w:t>
      </w:r>
      <w:r>
        <w:rPr>
          <w:spacing w:val="-11"/>
          <w:sz w:val="21"/>
        </w:rPr>
        <w:t> </w:t>
      </w:r>
      <w:r>
        <w:rPr>
          <w:sz w:val="21"/>
        </w:rPr>
        <w:t>2014 </w:t>
      </w:r>
      <w:r>
        <w:rPr>
          <w:w w:val="110"/>
          <w:sz w:val="21"/>
        </w:rPr>
        <w:t>University</w:t>
      </w:r>
      <w:r>
        <w:rPr>
          <w:spacing w:val="61"/>
          <w:w w:val="110"/>
          <w:sz w:val="21"/>
        </w:rPr>
        <w:t> </w:t>
      </w:r>
      <w:r>
        <w:rPr>
          <w:w w:val="105"/>
          <w:sz w:val="21"/>
        </w:rPr>
        <w:t>of</w:t>
      </w:r>
      <w:r>
        <w:rPr>
          <w:spacing w:val="64"/>
          <w:w w:val="105"/>
          <w:sz w:val="21"/>
        </w:rPr>
        <w:t> </w:t>
      </w:r>
      <w:r>
        <w:rPr>
          <w:w w:val="105"/>
          <w:sz w:val="21"/>
        </w:rPr>
        <w:t>North</w:t>
      </w:r>
      <w:r>
        <w:rPr>
          <w:spacing w:val="62"/>
          <w:w w:val="110"/>
          <w:sz w:val="21"/>
        </w:rPr>
        <w:t> </w:t>
      </w:r>
      <w:r>
        <w:rPr>
          <w:w w:val="110"/>
          <w:sz w:val="21"/>
        </w:rPr>
        <w:t>Carolina</w:t>
      </w:r>
      <w:r>
        <w:rPr>
          <w:spacing w:val="62"/>
          <w:w w:val="110"/>
          <w:sz w:val="21"/>
        </w:rPr>
        <w:t> </w:t>
      </w:r>
      <w:r>
        <w:rPr>
          <w:w w:val="105"/>
          <w:sz w:val="21"/>
        </w:rPr>
        <w:t>at</w:t>
      </w:r>
      <w:r>
        <w:rPr>
          <w:spacing w:val="61"/>
          <w:w w:val="110"/>
          <w:sz w:val="21"/>
        </w:rPr>
        <w:t> </w:t>
      </w:r>
      <w:r>
        <w:rPr>
          <w:w w:val="110"/>
          <w:sz w:val="21"/>
        </w:rPr>
        <w:t>Charlotte</w:t>
      </w:r>
      <w:r>
        <w:rPr>
          <w:spacing w:val="62"/>
          <w:w w:val="110"/>
          <w:sz w:val="21"/>
        </w:rPr>
        <w:t> </w:t>
      </w:r>
      <w:r>
        <w:rPr>
          <w:sz w:val="21"/>
        </w:rPr>
        <w:t>|</w:t>
      </w:r>
      <w:r>
        <w:rPr>
          <w:spacing w:val="61"/>
          <w:w w:val="110"/>
          <w:sz w:val="21"/>
        </w:rPr>
        <w:t> </w:t>
      </w:r>
      <w:r>
        <w:rPr>
          <w:w w:val="110"/>
          <w:sz w:val="21"/>
        </w:rPr>
        <w:t>Charlotte,</w:t>
      </w:r>
      <w:r>
        <w:rPr>
          <w:spacing w:val="62"/>
          <w:w w:val="110"/>
          <w:sz w:val="21"/>
        </w:rPr>
        <w:t> </w:t>
      </w:r>
      <w:r>
        <w:rPr>
          <w:w w:val="110"/>
          <w:sz w:val="21"/>
        </w:rPr>
        <w:t>NC</w:t>
      </w:r>
    </w:p>
    <w:sectPr>
      <w:type w:val="continuous"/>
      <w:pgSz w:w="11920" w:h="16860"/>
      <w:pgMar w:top="64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9"/>
      <w:ind w:left="367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1"/>
      <w:ind w:left="63"/>
      <w:outlineLvl w:val="1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0"/>
      <w:ind w:left="63"/>
      <w:outlineLvl w:val="2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25"/>
      <w:ind w:left="63"/>
      <w:outlineLvl w:val="3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36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2026-01-22T16:30:46Z</dcterms:created>
  <dcterms:modified xsi:type="dcterms:W3CDTF">2026-01-22T16:30:46Z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