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9"/>
        <w:rPr>
          <w:rFonts w:ascii="Times New Roman"/>
          <w:sz w:val="89"/>
        </w:rPr>
      </w:pPr>
    </w:p>
    <w:p>
      <w:pPr>
        <w:spacing w:before="0"/>
        <w:ind w:left="4141" w:right="0" w:firstLine="0"/>
        <w:jc w:val="center"/>
        <w:rPr>
          <w:sz w:val="89"/>
        </w:rPr>
      </w:pPr>
      <w:r>
        <w:rPr>
          <w:b/>
          <w:color w:val="FFFFFF"/>
          <w:spacing w:val="13"/>
          <w:sz w:val="89"/>
        </w:rPr>
        <w:t>JAMES</w:t>
      </w:r>
      <w:r>
        <w:rPr>
          <w:b/>
          <w:color w:val="FFFFFF"/>
          <w:spacing w:val="40"/>
          <w:sz w:val="89"/>
        </w:rPr>
        <w:t> </w:t>
      </w:r>
      <w:r>
        <w:rPr>
          <w:color w:val="FFFFFF"/>
          <w:spacing w:val="9"/>
          <w:sz w:val="89"/>
        </w:rPr>
        <w:t>CARTER</w:t>
      </w:r>
    </w:p>
    <w:p>
      <w:pPr>
        <w:spacing w:before="194"/>
        <w:ind w:left="4158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Commercial</w:t>
      </w:r>
      <w:r>
        <w:rPr>
          <w:b/>
          <w:color w:val="FFFFFF"/>
          <w:spacing w:val="12"/>
          <w:sz w:val="20"/>
        </w:rPr>
        <w:t> </w:t>
      </w:r>
      <w:r>
        <w:rPr>
          <w:b/>
          <w:color w:val="FFFFFF"/>
          <w:sz w:val="20"/>
        </w:rPr>
        <w:t>Construction</w:t>
      </w:r>
      <w:r>
        <w:rPr>
          <w:b/>
          <w:color w:val="FFFFFF"/>
          <w:spacing w:val="13"/>
          <w:sz w:val="20"/>
        </w:rPr>
        <w:t> </w:t>
      </w:r>
      <w:r>
        <w:rPr>
          <w:b/>
          <w:color w:val="FFFFFF"/>
          <w:sz w:val="20"/>
        </w:rPr>
        <w:t>Project</w:t>
      </w:r>
      <w:r>
        <w:rPr>
          <w:b/>
          <w:color w:val="FFFFFF"/>
          <w:spacing w:val="13"/>
          <w:sz w:val="20"/>
        </w:rPr>
        <w:t> </w:t>
      </w:r>
      <w:r>
        <w:rPr>
          <w:b/>
          <w:color w:val="FFFFFF"/>
          <w:spacing w:val="-2"/>
          <w:sz w:val="20"/>
        </w:rPr>
        <w:t>Manager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6912">
                <wp:simplePos x="0" y="0"/>
                <wp:positionH relativeFrom="page">
                  <wp:posOffset>2447924</wp:posOffset>
                </wp:positionH>
                <wp:positionV relativeFrom="paragraph">
                  <wp:posOffset>81058</wp:posOffset>
                </wp:positionV>
                <wp:extent cx="9525" cy="8505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505825"/>
                          <a:chExt cx="9525" cy="8505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476999"/>
                            <a:ext cx="95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028825">
                                <a:moveTo>
                                  <a:pt x="0" y="2028824"/>
                                </a:moveTo>
                                <a:lnTo>
                                  <a:pt x="9524" y="202882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28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647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477000">
                                <a:moveTo>
                                  <a:pt x="9524" y="6476999"/>
                                </a:moveTo>
                                <a:lnTo>
                                  <a:pt x="0" y="64769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47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6.382584pt;width:.75pt;height:669.75pt;mso-position-horizontal-relative:page;mso-position-vertical-relative:paragraph;z-index:-15789568" id="docshapegroup1" coordorigin="3855,128" coordsize="15,13395">
                <v:rect style="position:absolute;left:3855;top:10327;width:15;height:3195" id="docshape2" filled="true" fillcolor="#1f1f1f" stroked="false">
                  <v:fill opacity="15420f" type="solid"/>
                </v:rect>
                <v:rect style="position:absolute;left:3855;top:127;width:15;height:10200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33373C"/>
          <w:sz w:val="20"/>
        </w:rPr>
        <w:t>ABOUT</w:t>
      </w:r>
      <w:r>
        <w:rPr>
          <w:b/>
          <w:color w:val="33373C"/>
          <w:spacing w:val="11"/>
          <w:sz w:val="20"/>
        </w:rPr>
        <w:t> </w:t>
      </w:r>
      <w:r>
        <w:rPr>
          <w:b/>
          <w:color w:val="33373C"/>
          <w:spacing w:val="-5"/>
          <w:sz w:val="20"/>
        </w:rPr>
        <w:t>ME</w:t>
      </w:r>
    </w:p>
    <w:p>
      <w:pPr>
        <w:pStyle w:val="BodyText"/>
        <w:spacing w:before="5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141" w:right="425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33373C"/>
          <w:sz w:val="20"/>
        </w:rPr>
        <w:t>PERSONAL</w:t>
      </w:r>
      <w:r>
        <w:rPr>
          <w:b/>
          <w:color w:val="33373C"/>
          <w:spacing w:val="12"/>
          <w:sz w:val="20"/>
        </w:rPr>
        <w:t> </w:t>
      </w:r>
      <w:r>
        <w:rPr>
          <w:b/>
          <w:color w:val="33373C"/>
          <w:spacing w:val="-2"/>
          <w:sz w:val="20"/>
        </w:rPr>
        <w:t>INFORMATION</w:t>
      </w:r>
    </w:p>
    <w:p>
      <w:pPr>
        <w:pStyle w:val="BodyText"/>
        <w:spacing w:before="27"/>
        <w:rPr>
          <w:b/>
          <w:sz w:val="20"/>
        </w:rPr>
      </w:pPr>
    </w:p>
    <w:p>
      <w:pPr>
        <w:pStyle w:val="BodyText"/>
        <w:tabs>
          <w:tab w:pos="957" w:val="left" w:leader="none"/>
        </w:tabs>
        <w:ind w:left="399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(555)</w:t>
      </w:r>
      <w:r>
        <w:rPr>
          <w:color w:val="1F1F1F"/>
          <w:spacing w:val="16"/>
        </w:rPr>
        <w:t> </w:t>
      </w:r>
      <w:r>
        <w:rPr>
          <w:color w:val="1F1F1F"/>
        </w:rPr>
        <w:t>234-</w:t>
      </w:r>
      <w:r>
        <w:rPr>
          <w:color w:val="1F1F1F"/>
          <w:spacing w:val="-4"/>
        </w:rPr>
        <w:t>5678</w:t>
      </w:r>
    </w:p>
    <w:p>
      <w:pPr>
        <w:pStyle w:val="BodyText"/>
        <w:tabs>
          <w:tab w:pos="957" w:val="left" w:leader="none"/>
        </w:tabs>
        <w:spacing w:line="345" w:lineRule="auto" w:before="134"/>
        <w:ind w:left="399" w:right="245" w:firstLine="20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</w:rPr>
          <w:t>jamescarter@email.com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9"/>
        </w:rPr>
        <w:drawing>
          <wp:inline distT="0" distB="0" distL="0" distR="0">
            <wp:extent cx="200679" cy="173761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LinkedIn URL</w:t>
      </w:r>
    </w:p>
    <w:p>
      <w:pPr>
        <w:pStyle w:val="BodyText"/>
        <w:tabs>
          <w:tab w:pos="957" w:val="left" w:leader="none"/>
        </w:tabs>
        <w:spacing w:before="36"/>
        <w:ind w:left="400"/>
      </w:pP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City,</w:t>
      </w:r>
      <w:r>
        <w:rPr>
          <w:color w:val="1F1F1F"/>
          <w:spacing w:val="-10"/>
        </w:rPr>
        <w:t> </w:t>
      </w:r>
      <w:r>
        <w:rPr>
          <w:color w:val="1F1F1F"/>
          <w:spacing w:val="-5"/>
        </w:rPr>
        <w:t>ST</w:t>
      </w:r>
    </w:p>
    <w:p>
      <w:pPr>
        <w:pStyle w:val="BodyText"/>
      </w:pPr>
    </w:p>
    <w:p>
      <w:pPr>
        <w:pStyle w:val="BodyText"/>
        <w:spacing w:before="12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33373C"/>
          <w:sz w:val="20"/>
        </w:rPr>
        <w:t>KEY</w:t>
      </w:r>
      <w:r>
        <w:rPr>
          <w:b/>
          <w:color w:val="33373C"/>
          <w:spacing w:val="3"/>
          <w:sz w:val="20"/>
        </w:rPr>
        <w:t> </w:t>
      </w:r>
      <w:r>
        <w:rPr>
          <w:b/>
          <w:color w:val="33373C"/>
          <w:spacing w:val="-2"/>
          <w:sz w:val="20"/>
        </w:rPr>
        <w:t>SKILLS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95" w:lineRule="auto" w:before="224" w:after="0"/>
        <w:ind w:left="696" w:right="423" w:hanging="298"/>
        <w:jc w:val="left"/>
        <w:rPr>
          <w:sz w:val="18"/>
        </w:rPr>
      </w:pPr>
      <w:r>
        <w:rPr>
          <w:color w:val="1F1F1F"/>
          <w:w w:val="105"/>
          <w:sz w:val="18"/>
        </w:rPr>
        <w:t>Commercial</w:t>
      </w:r>
      <w:r>
        <w:rPr>
          <w:color w:val="1F1F1F"/>
          <w:spacing w:val="-14"/>
          <w:w w:val="105"/>
          <w:sz w:val="18"/>
        </w:rPr>
        <w:t> </w:t>
      </w:r>
      <w:r>
        <w:rPr>
          <w:color w:val="1F1F1F"/>
          <w:w w:val="105"/>
          <w:sz w:val="18"/>
        </w:rPr>
        <w:t>construction </w:t>
      </w:r>
      <w:r>
        <w:rPr>
          <w:color w:val="1F1F1F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91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Budgeting</w:t>
      </w:r>
      <w:r>
        <w:rPr>
          <w:color w:val="1F1F1F"/>
          <w:spacing w:val="1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1"/>
          <w:w w:val="105"/>
          <w:sz w:val="18"/>
        </w:rPr>
        <w:t> </w:t>
      </w:r>
      <w:r>
        <w:rPr>
          <w:color w:val="1F1F1F"/>
          <w:w w:val="105"/>
          <w:sz w:val="18"/>
        </w:rPr>
        <w:t>cost</w:t>
      </w:r>
      <w:r>
        <w:rPr>
          <w:color w:val="1F1F1F"/>
          <w:spacing w:val="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control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OSHA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and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safety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95" w:lineRule="auto" w:before="138" w:after="0"/>
        <w:ind w:left="696" w:right="471" w:hanging="298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Vendor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negotiations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and contracts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95" w:lineRule="auto" w:before="91" w:after="0"/>
        <w:ind w:left="696" w:right="237" w:hanging="298"/>
        <w:jc w:val="left"/>
        <w:rPr>
          <w:sz w:val="18"/>
        </w:rPr>
      </w:pPr>
      <w:r>
        <w:rPr>
          <w:color w:val="1F1F1F"/>
          <w:w w:val="105"/>
          <w:sz w:val="18"/>
        </w:rPr>
        <w:t>Project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scheduling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risk </w:t>
      </w:r>
      <w:r>
        <w:rPr>
          <w:color w:val="1F1F1F"/>
          <w:spacing w:val="-2"/>
          <w:w w:val="105"/>
          <w:sz w:val="18"/>
        </w:rPr>
        <w:t>management</w:t>
      </w:r>
    </w:p>
    <w:p>
      <w:pPr>
        <w:spacing w:line="297" w:lineRule="auto" w:before="70"/>
        <w:ind w:left="537" w:right="323" w:firstLine="0"/>
        <w:jc w:val="center"/>
        <w:rPr>
          <w:sz w:val="20"/>
        </w:rPr>
      </w:pPr>
      <w:r>
        <w:rPr/>
        <w:br w:type="column"/>
      </w:r>
      <w:r>
        <w:rPr>
          <w:color w:val="1F1F1F"/>
          <w:sz w:val="20"/>
        </w:rPr>
        <w:t>Commercial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construction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project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manager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with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expertise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large-scale </w:t>
      </w:r>
      <w:r>
        <w:rPr>
          <w:color w:val="1F1F1F"/>
          <w:spacing w:val="-2"/>
          <w:sz w:val="20"/>
        </w:rPr>
        <w:t>developments</w:t>
      </w:r>
    </w:p>
    <w:p>
      <w:pPr>
        <w:spacing w:line="290" w:lineRule="auto" w:before="89"/>
        <w:ind w:left="451" w:right="237" w:firstLine="0"/>
        <w:jc w:val="center"/>
        <w:rPr>
          <w:sz w:val="20"/>
        </w:rPr>
      </w:pPr>
      <w:r>
        <w:rPr>
          <w:color w:val="1F1F1F"/>
          <w:w w:val="105"/>
          <w:sz w:val="20"/>
        </w:rPr>
        <w:t>Construction project manager with 12+ years of experience overseeing multimillion-dollar commercial developments. Managed subcontractors, optimized budgets, and ensured compliance with safety regulations.</w:t>
      </w: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132403</wp:posOffset>
                </wp:positionV>
                <wp:extent cx="4629150" cy="19050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62915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19050">
                              <a:moveTo>
                                <a:pt x="4629149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425495pt;width:364.499971pt;height:1.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7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33373C"/>
          <w:sz w:val="20"/>
        </w:rPr>
        <w:t>PROFESSIONAL</w:t>
      </w:r>
      <w:r>
        <w:rPr>
          <w:b/>
          <w:color w:val="33373C"/>
          <w:spacing w:val="17"/>
          <w:sz w:val="20"/>
        </w:rPr>
        <w:t> </w:t>
      </w:r>
      <w:r>
        <w:rPr>
          <w:b/>
          <w:color w:val="33373C"/>
          <w:spacing w:val="-2"/>
          <w:sz w:val="20"/>
        </w:rPr>
        <w:t>EXPERIENCE</w:t>
      </w:r>
    </w:p>
    <w:p>
      <w:pPr>
        <w:spacing w:before="205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Commercial</w:t>
      </w:r>
      <w:r>
        <w:rPr>
          <w:color w:val="1F1F1F"/>
          <w:spacing w:val="11"/>
          <w:sz w:val="20"/>
        </w:rPr>
        <w:t> </w:t>
      </w:r>
      <w:r>
        <w:rPr>
          <w:color w:val="1F1F1F"/>
          <w:sz w:val="20"/>
        </w:rPr>
        <w:t>Construction</w:t>
      </w:r>
      <w:r>
        <w:rPr>
          <w:color w:val="1F1F1F"/>
          <w:spacing w:val="11"/>
          <w:sz w:val="20"/>
        </w:rPr>
        <w:t> </w:t>
      </w:r>
      <w:r>
        <w:rPr>
          <w:color w:val="1F1F1F"/>
          <w:sz w:val="20"/>
        </w:rPr>
        <w:t>Project</w:t>
      </w:r>
      <w:r>
        <w:rPr>
          <w:color w:val="1F1F1F"/>
          <w:spacing w:val="11"/>
          <w:sz w:val="20"/>
        </w:rPr>
        <w:t> </w:t>
      </w:r>
      <w:r>
        <w:rPr>
          <w:color w:val="1F1F1F"/>
          <w:spacing w:val="-2"/>
          <w:sz w:val="20"/>
        </w:rPr>
        <w:t>Manager</w:t>
      </w:r>
    </w:p>
    <w:p>
      <w:pPr>
        <w:spacing w:before="130"/>
        <w:ind w:left="139" w:right="0" w:firstLine="0"/>
        <w:jc w:val="left"/>
        <w:rPr>
          <w:sz w:val="20"/>
        </w:rPr>
      </w:pPr>
      <w:r>
        <w:rPr>
          <w:sz w:val="20"/>
        </w:rPr>
        <w:t>BuildWell</w:t>
      </w:r>
      <w:r>
        <w:rPr>
          <w:spacing w:val="1"/>
          <w:sz w:val="20"/>
        </w:rPr>
        <w:t> </w:t>
      </w:r>
      <w:r>
        <w:rPr>
          <w:sz w:val="20"/>
        </w:rPr>
        <w:t>Construction,</w:t>
      </w:r>
      <w:r>
        <w:rPr>
          <w:spacing w:val="1"/>
          <w:sz w:val="20"/>
        </w:rPr>
        <w:t> </w:t>
      </w:r>
      <w:r>
        <w:rPr>
          <w:sz w:val="20"/>
        </w:rPr>
        <w:t>City,</w:t>
      </w:r>
      <w:r>
        <w:rPr>
          <w:spacing w:val="1"/>
          <w:sz w:val="20"/>
        </w:rPr>
        <w:t> </w:t>
      </w:r>
      <w:r>
        <w:rPr>
          <w:sz w:val="20"/>
        </w:rPr>
        <w:t>ST</w:t>
      </w:r>
      <w:r>
        <w:rPr>
          <w:spacing w:val="1"/>
          <w:sz w:val="20"/>
        </w:rPr>
        <w:t> </w:t>
      </w:r>
      <w:r>
        <w:rPr>
          <w:sz w:val="20"/>
        </w:rPr>
        <w:t>|</w:t>
      </w:r>
      <w:r>
        <w:rPr>
          <w:spacing w:val="1"/>
          <w:sz w:val="20"/>
        </w:rPr>
        <w:t> </w:t>
      </w:r>
      <w:r>
        <w:rPr>
          <w:sz w:val="20"/>
        </w:rPr>
        <w:t>June</w:t>
      </w:r>
      <w:r>
        <w:rPr>
          <w:spacing w:val="1"/>
          <w:sz w:val="20"/>
        </w:rPr>
        <w:t> </w:t>
      </w:r>
      <w:r>
        <w:rPr>
          <w:sz w:val="20"/>
        </w:rPr>
        <w:t>2017</w:t>
      </w:r>
      <w:r>
        <w:rPr>
          <w:spacing w:val="2"/>
          <w:sz w:val="20"/>
        </w:rPr>
        <w:t> </w:t>
      </w:r>
      <w:r>
        <w:rPr>
          <w:sz w:val="20"/>
        </w:rPr>
        <w:t>-</w:t>
      </w:r>
      <w:r>
        <w:rPr>
          <w:spacing w:val="1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134" w:after="0"/>
        <w:ind w:left="975" w:right="312" w:hanging="302"/>
        <w:jc w:val="left"/>
        <w:rPr>
          <w:sz w:val="18"/>
        </w:rPr>
      </w:pPr>
      <w:r>
        <w:rPr>
          <w:color w:val="1F1F1F"/>
          <w:w w:val="105"/>
          <w:sz w:val="18"/>
        </w:rPr>
        <w:t>Led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$100M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commercial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construction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projects,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completing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them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15%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under budget and ahead of schedule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91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Developed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cost-saving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strategies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that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reduced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materials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waste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by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spacing w:val="-5"/>
          <w:w w:val="105"/>
          <w:sz w:val="18"/>
        </w:rPr>
        <w:t>20%</w:t>
      </w:r>
    </w:p>
    <w:p>
      <w:pPr>
        <w:pStyle w:val="BodyText"/>
        <w:spacing w:before="32"/>
      </w:pPr>
    </w:p>
    <w:p>
      <w:pPr>
        <w:spacing w:before="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Assistant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Project</w:t>
      </w:r>
      <w:r>
        <w:rPr>
          <w:color w:val="1F1F1F"/>
          <w:spacing w:val="8"/>
          <w:sz w:val="20"/>
        </w:rPr>
        <w:t> </w:t>
      </w:r>
      <w:r>
        <w:rPr>
          <w:color w:val="1F1F1F"/>
          <w:spacing w:val="-2"/>
          <w:sz w:val="20"/>
        </w:rPr>
        <w:t>Manager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Urban</w:t>
      </w:r>
      <w:r>
        <w:rPr>
          <w:spacing w:val="3"/>
          <w:sz w:val="20"/>
        </w:rPr>
        <w:t> </w:t>
      </w:r>
      <w:r>
        <w:rPr>
          <w:sz w:val="20"/>
        </w:rPr>
        <w:t>Developments,</w:t>
      </w:r>
      <w:r>
        <w:rPr>
          <w:spacing w:val="4"/>
          <w:sz w:val="20"/>
        </w:rPr>
        <w:t> </w:t>
      </w:r>
      <w:r>
        <w:rPr>
          <w:sz w:val="20"/>
        </w:rPr>
        <w:t>City,</w:t>
      </w:r>
      <w:r>
        <w:rPr>
          <w:spacing w:val="3"/>
          <w:sz w:val="20"/>
        </w:rPr>
        <w:t> </w:t>
      </w:r>
      <w:r>
        <w:rPr>
          <w:sz w:val="20"/>
        </w:rPr>
        <w:t>ST</w:t>
      </w:r>
      <w:r>
        <w:rPr>
          <w:spacing w:val="4"/>
          <w:sz w:val="20"/>
        </w:rPr>
        <w:t> </w:t>
      </w:r>
      <w:r>
        <w:rPr>
          <w:sz w:val="20"/>
        </w:rPr>
        <w:t>|</w:t>
      </w:r>
      <w:r>
        <w:rPr>
          <w:spacing w:val="3"/>
          <w:sz w:val="20"/>
        </w:rPr>
        <w:t> </w:t>
      </w:r>
      <w:r>
        <w:rPr>
          <w:sz w:val="20"/>
        </w:rPr>
        <w:t>May</w:t>
      </w:r>
      <w:r>
        <w:rPr>
          <w:spacing w:val="4"/>
          <w:sz w:val="20"/>
        </w:rPr>
        <w:t> </w:t>
      </w:r>
      <w:r>
        <w:rPr>
          <w:sz w:val="20"/>
        </w:rPr>
        <w:t>2013</w:t>
      </w:r>
      <w:r>
        <w:rPr>
          <w:spacing w:val="3"/>
          <w:sz w:val="20"/>
        </w:rPr>
        <w:t> </w:t>
      </w:r>
      <w:r>
        <w:rPr>
          <w:sz w:val="20"/>
        </w:rPr>
        <w:t>-</w:t>
      </w:r>
      <w:r>
        <w:rPr>
          <w:spacing w:val="4"/>
          <w:sz w:val="20"/>
        </w:rPr>
        <w:t> </w:t>
      </w:r>
      <w:r>
        <w:rPr>
          <w:sz w:val="20"/>
        </w:rPr>
        <w:t>May</w:t>
      </w:r>
      <w:r>
        <w:rPr>
          <w:spacing w:val="3"/>
          <w:sz w:val="20"/>
        </w:rPr>
        <w:t> </w:t>
      </w:r>
      <w:r>
        <w:rPr>
          <w:spacing w:val="-4"/>
          <w:sz w:val="20"/>
        </w:rPr>
        <w:t>2017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149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Managed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subcontractors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procurement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commercial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projects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worth</w:t>
      </w:r>
    </w:p>
    <w:p>
      <w:pPr>
        <w:pStyle w:val="BodyText"/>
        <w:spacing w:before="33"/>
        <w:ind w:left="975"/>
      </w:pPr>
      <w:r>
        <w:rPr>
          <w:color w:val="1F1F1F"/>
          <w:spacing w:val="-4"/>
          <w:w w:val="105"/>
        </w:rPr>
        <w:t>$50M+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78" w:lineRule="auto" w:before="153" w:after="0"/>
        <w:ind w:left="975" w:right="602" w:hanging="302"/>
        <w:jc w:val="left"/>
        <w:rPr>
          <w:sz w:val="18"/>
        </w:rPr>
      </w:pPr>
      <w:r>
        <w:rPr>
          <w:color w:val="1F1F1F"/>
          <w:w w:val="105"/>
          <w:sz w:val="18"/>
        </w:rPr>
        <w:t>Assisted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in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risk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management,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preventing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project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delays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minimizing </w:t>
      </w:r>
      <w:r>
        <w:rPr>
          <w:color w:val="1F1F1F"/>
          <w:spacing w:val="-2"/>
          <w:w w:val="105"/>
          <w:sz w:val="18"/>
        </w:rPr>
        <w:t>liabilities</w:t>
      </w:r>
    </w:p>
    <w:p>
      <w:pPr>
        <w:pStyle w:val="ListParagraph"/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0" w:bottom="0" w:left="141" w:right="425"/>
          <w:cols w:num="2" w:equalWidth="0">
            <w:col w:w="3196" w:space="654"/>
            <w:col w:w="7504"/>
          </w:cols>
        </w:sectPr>
      </w:pPr>
    </w:p>
    <w:p>
      <w:pPr>
        <w:pStyle w:val="BodyText"/>
        <w:spacing w:before="20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64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90080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7424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240982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687945" cy="2409825"/>
                          <a:chExt cx="7687945" cy="240982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2507709" y="380999"/>
                            <a:ext cx="95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52575">
                                <a:moveTo>
                                  <a:pt x="0" y="1552575"/>
                                </a:moveTo>
                                <a:lnTo>
                                  <a:pt x="9524" y="1552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189.75pt;mso-position-horizontal-relative:page;mso-position-vertical-relative:page;z-index:-15789056" id="docshapegroup6" coordorigin="-94,0" coordsize="12107,3795">
                <v:rect style="position:absolute;left:3855;top:600;width:15;height:2445" id="docshape7" filled="true" fillcolor="#1f1f1f" stroked="false">
                  <v:fill opacity="15420f" type="solid"/>
                </v:rect>
                <v:rect style="position:absolute;left:0;top:0;width:11919;height:3045" id="docshape8" filled="true" fillcolor="#33373c" stroked="false">
                  <v:fill opacity="32899f" type="solid"/>
                </v:rect>
                <v:shape style="position:absolute;left:0;top:274;width:11919;height:2726" id="docshape9" coordorigin="0,275" coordsize="11919,2726" path="m11918,3000l0,3000,0,835,11918,275,11918,3000xe" filled="true" fillcolor="#33373c" stroked="false">
                  <v:path arrowok="t"/>
                  <v:fill type="solid"/>
                </v:shape>
                <v:rect style="position:absolute;left:0;top:2905;width:11919;height:189" id="docshape10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390;top:455;width:3345;height:3340" type="#_x0000_t75" id="docshape11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33373C"/>
          <w:spacing w:val="-2"/>
          <w:sz w:val="20"/>
        </w:rPr>
        <w:t>EDUCATION</w:t>
      </w:r>
    </w:p>
    <w:p>
      <w:pPr>
        <w:spacing w:before="205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Science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Construction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Management</w:t>
      </w:r>
    </w:p>
    <w:p>
      <w:pPr>
        <w:spacing w:before="130"/>
        <w:ind w:left="3989" w:right="0" w:firstLine="0"/>
        <w:jc w:val="left"/>
        <w:rPr>
          <w:sz w:val="20"/>
        </w:rPr>
      </w:pPr>
      <w:r>
        <w:rPr>
          <w:sz w:val="20"/>
        </w:rPr>
        <w:t>University</w:t>
      </w:r>
      <w:r>
        <w:rPr>
          <w:spacing w:val="-2"/>
          <w:sz w:val="20"/>
        </w:rPr>
        <w:t> </w:t>
      </w:r>
      <w:r>
        <w:rPr>
          <w:sz w:val="20"/>
        </w:rPr>
        <w:t>of</w:t>
      </w:r>
      <w:r>
        <w:rPr>
          <w:spacing w:val="-1"/>
          <w:sz w:val="20"/>
        </w:rPr>
        <w:t> </w:t>
      </w:r>
      <w:r>
        <w:rPr>
          <w:sz w:val="20"/>
        </w:rPr>
        <w:t>Texas,</w:t>
      </w:r>
      <w:r>
        <w:rPr>
          <w:spacing w:val="-1"/>
          <w:sz w:val="20"/>
        </w:rPr>
        <w:t> </w:t>
      </w:r>
      <w:r>
        <w:rPr>
          <w:sz w:val="20"/>
        </w:rPr>
        <w:t>Austin,</w:t>
      </w:r>
      <w:r>
        <w:rPr>
          <w:spacing w:val="-1"/>
          <w:sz w:val="20"/>
        </w:rPr>
        <w:t> </w:t>
      </w:r>
      <w:r>
        <w:rPr>
          <w:spacing w:val="-5"/>
          <w:sz w:val="20"/>
        </w:rPr>
        <w:t>TX</w:t>
      </w:r>
    </w:p>
    <w:p>
      <w:pPr>
        <w:pStyle w:val="BodyText"/>
        <w:spacing w:before="200"/>
        <w:rPr>
          <w:sz w:val="20"/>
        </w:rPr>
      </w:pP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33373C"/>
          <w:spacing w:val="-2"/>
          <w:sz w:val="20"/>
        </w:rPr>
        <w:t>CERTIFICATIONS</w:t>
      </w:r>
    </w:p>
    <w:p>
      <w:pPr>
        <w:pStyle w:val="BodyText"/>
        <w:spacing w:before="2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286" w:val="left" w:leader="none"/>
        </w:tabs>
        <w:spacing w:line="240" w:lineRule="auto" w:before="0" w:after="0"/>
        <w:ind w:left="4286" w:right="0" w:hanging="303"/>
        <w:jc w:val="left"/>
        <w:rPr>
          <w:sz w:val="18"/>
        </w:rPr>
      </w:pPr>
      <w:r>
        <w:rPr>
          <w:color w:val="1F1F1F"/>
          <w:sz w:val="18"/>
        </w:rPr>
        <w:t>Project</w:t>
      </w:r>
      <w:r>
        <w:rPr>
          <w:color w:val="1F1F1F"/>
          <w:spacing w:val="15"/>
          <w:sz w:val="18"/>
        </w:rPr>
        <w:t> </w:t>
      </w:r>
      <w:r>
        <w:rPr>
          <w:color w:val="1F1F1F"/>
          <w:sz w:val="18"/>
        </w:rPr>
        <w:t>Management</w:t>
      </w:r>
      <w:r>
        <w:rPr>
          <w:color w:val="1F1F1F"/>
          <w:spacing w:val="16"/>
          <w:sz w:val="18"/>
        </w:rPr>
        <w:t> </w:t>
      </w:r>
      <w:r>
        <w:rPr>
          <w:color w:val="1F1F1F"/>
          <w:sz w:val="18"/>
        </w:rPr>
        <w:t>Professional</w:t>
      </w:r>
      <w:r>
        <w:rPr>
          <w:color w:val="1F1F1F"/>
          <w:spacing w:val="16"/>
          <w:sz w:val="18"/>
        </w:rPr>
        <w:t> </w:t>
      </w:r>
      <w:r>
        <w:rPr>
          <w:color w:val="1F1F1F"/>
          <w:spacing w:val="-4"/>
          <w:sz w:val="18"/>
        </w:rPr>
        <w:t>(PMP)</w:t>
      </w:r>
    </w:p>
    <w:p>
      <w:pPr>
        <w:pStyle w:val="ListParagraph"/>
        <w:numPr>
          <w:ilvl w:val="2"/>
          <w:numId w:val="1"/>
        </w:numPr>
        <w:tabs>
          <w:tab w:pos="4286" w:val="left" w:leader="none"/>
        </w:tabs>
        <w:spacing w:line="240" w:lineRule="auto" w:before="153" w:after="0"/>
        <w:ind w:left="4286" w:right="0" w:hanging="303"/>
        <w:jc w:val="left"/>
        <w:rPr>
          <w:sz w:val="18"/>
        </w:rPr>
      </w:pPr>
      <w:r>
        <w:rPr>
          <w:color w:val="1F1F1F"/>
          <w:sz w:val="18"/>
        </w:rPr>
        <w:t>OSHA</w:t>
      </w:r>
      <w:r>
        <w:rPr>
          <w:color w:val="1F1F1F"/>
          <w:spacing w:val="11"/>
          <w:sz w:val="18"/>
        </w:rPr>
        <w:t> </w:t>
      </w:r>
      <w:r>
        <w:rPr>
          <w:color w:val="1F1F1F"/>
          <w:sz w:val="18"/>
        </w:rPr>
        <w:t>30-Hour</w:t>
      </w:r>
      <w:r>
        <w:rPr>
          <w:color w:val="1F1F1F"/>
          <w:spacing w:val="12"/>
          <w:sz w:val="18"/>
        </w:rPr>
        <w:t> </w:t>
      </w:r>
      <w:r>
        <w:rPr>
          <w:color w:val="1F1F1F"/>
          <w:sz w:val="18"/>
        </w:rPr>
        <w:t>Construction</w:t>
      </w:r>
      <w:r>
        <w:rPr>
          <w:color w:val="1F1F1F"/>
          <w:spacing w:val="12"/>
          <w:sz w:val="18"/>
        </w:rPr>
        <w:t> </w:t>
      </w:r>
      <w:r>
        <w:rPr>
          <w:color w:val="1F1F1F"/>
          <w:sz w:val="18"/>
        </w:rPr>
        <w:t>Safety</w:t>
      </w:r>
      <w:r>
        <w:rPr>
          <w:color w:val="1F1F1F"/>
          <w:spacing w:val="12"/>
          <w:sz w:val="18"/>
        </w:rPr>
        <w:t> </w:t>
      </w:r>
      <w:r>
        <w:rPr>
          <w:color w:val="1F1F1F"/>
          <w:spacing w:val="-2"/>
          <w:sz w:val="18"/>
        </w:rPr>
        <w:t>Certiﬁcation</w:t>
      </w:r>
    </w:p>
    <w:sectPr>
      <w:type w:val="continuous"/>
      <w:pgSz w:w="11920" w:h="16860"/>
      <w:pgMar w:top="0" w:bottom="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numPicBullet w:numPicBulletId="1">
    <w:pict>
      <v:shape id="_x0000_i1076" type="#_x0000_t75" style="width:7.500000pt;height:7.500000pt" o:bullet="t">
        <v:imagedata r:id="rId1" o:title="image5.png"/>
      </v:shape>
    </w:pict>
  </w:numPicBullet>
  <w:numPicBullet w:numPicBulletId="2">
    <w:pict>
      <v:shape id="_x0000_i1077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696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975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2">
      <w:start w:val="0"/>
      <w:numFmt w:val="bullet"/>
      <w:lvlText w:val="&amp;"/>
      <w:lvlPicBulletId w:val="2"/>
      <w:lvlJc w:val="left"/>
      <w:pPr>
        <w:ind w:left="4286" w:hanging="30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63" w:hanging="30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46" w:hanging="30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29" w:hanging="30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12" w:hanging="30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195" w:hanging="30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8" w:hanging="303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1"/>
      <w:ind w:left="696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jamescarter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6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2026-02-15T13:19:45Z</dcterms:created>
  <dcterms:modified xsi:type="dcterms:W3CDTF">2026-02-15T13:19:45Z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