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68"/>
        <w:ind w:firstLine="0"/>
        <w:rPr>
          <w:rFonts w:ascii="Times New Roman"/>
          <w:sz w:val="78"/>
        </w:rPr>
      </w:pPr>
    </w:p>
    <w:p>
      <w:pPr>
        <w:spacing w:before="1"/>
        <w:ind w:left="23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98B78"/>
          <w:sz w:val="78"/>
        </w:rPr>
        <w:t>Jesse</w:t>
      </w:r>
      <w:r>
        <w:rPr>
          <w:rFonts w:ascii="Arial"/>
          <w:b/>
          <w:color w:val="F98B78"/>
          <w:spacing w:val="30"/>
          <w:sz w:val="78"/>
        </w:rPr>
        <w:t> </w:t>
      </w:r>
      <w:r>
        <w:rPr>
          <w:rFonts w:ascii="Microsoft Sans Serif"/>
          <w:color w:val="F98B78"/>
          <w:spacing w:val="-2"/>
          <w:sz w:val="78"/>
        </w:rPr>
        <w:t>Martin</w:t>
      </w:r>
    </w:p>
    <w:p>
      <w:pPr>
        <w:pStyle w:val="Heading1"/>
      </w:pPr>
      <w:r>
        <w:rPr>
          <w:color w:val="F98B78"/>
        </w:rPr>
        <w:t>Compensation</w:t>
      </w:r>
      <w:r>
        <w:rPr>
          <w:color w:val="F98B78"/>
          <w:spacing w:val="33"/>
        </w:rPr>
        <w:t> </w:t>
      </w:r>
      <w:r>
        <w:rPr>
          <w:color w:val="F98B78"/>
          <w:spacing w:val="-2"/>
        </w:rPr>
        <w:t>Analyst</w:t>
      </w:r>
    </w:p>
    <w:p>
      <w:pPr>
        <w:spacing w:before="184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1"/>
          <w:sz w:val="13"/>
        </w:rPr>
        <w:t> </w:t>
      </w:r>
      <w:r>
        <w:rPr>
          <w:sz w:val="13"/>
        </w:rPr>
        <w:t>456-7890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r>
        <w:rPr>
          <w:sz w:val="13"/>
        </w:rPr>
        <w:t>City,</w:t>
      </w:r>
      <w:r>
        <w:rPr>
          <w:spacing w:val="12"/>
          <w:sz w:val="13"/>
        </w:rPr>
        <w:t> </w:t>
      </w:r>
      <w:r>
        <w:rPr>
          <w:sz w:val="13"/>
        </w:rPr>
        <w:t>ST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hyperlink r:id="rId5">
        <w:r>
          <w:rPr>
            <w:sz w:val="13"/>
          </w:rPr>
          <w:t>email@email.com</w:t>
        </w:r>
      </w:hyperlink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resume-</w:t>
      </w:r>
      <w:r>
        <w:rPr>
          <w:spacing w:val="-2"/>
          <w:sz w:val="13"/>
        </w:rPr>
        <w:t>site.com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42"/>
        <w:ind w:firstLine="0"/>
      </w:pPr>
    </w:p>
    <w:p>
      <w:pPr>
        <w:pStyle w:val="BodyText"/>
        <w:ind w:left="23" w:firstLine="0"/>
      </w:pPr>
      <w:r>
        <w:rPr>
          <w:w w:val="105"/>
        </w:rPr>
        <w:t>Compensation</w:t>
      </w:r>
      <w:r>
        <w:rPr>
          <w:spacing w:val="5"/>
          <w:w w:val="105"/>
        </w:rPr>
        <w:t> </w:t>
      </w:r>
      <w:r>
        <w:rPr>
          <w:w w:val="105"/>
        </w:rPr>
        <w:t>analyst</w:t>
      </w:r>
      <w:r>
        <w:rPr>
          <w:spacing w:val="6"/>
          <w:w w:val="105"/>
        </w:rPr>
        <w:t> </w:t>
      </w:r>
      <w:r>
        <w:rPr>
          <w:w w:val="105"/>
        </w:rPr>
        <w:t>focused</w:t>
      </w:r>
      <w:r>
        <w:rPr>
          <w:spacing w:val="6"/>
          <w:w w:val="105"/>
        </w:rPr>
        <w:t> </w:t>
      </w:r>
      <w:r>
        <w:rPr>
          <w:w w:val="105"/>
        </w:rPr>
        <w:t>on</w:t>
      </w:r>
      <w:r>
        <w:rPr>
          <w:spacing w:val="5"/>
          <w:w w:val="105"/>
        </w:rPr>
        <w:t> </w:t>
      </w:r>
      <w:r>
        <w:rPr>
          <w:w w:val="105"/>
        </w:rPr>
        <w:t>equitable</w:t>
      </w:r>
      <w:r>
        <w:rPr>
          <w:spacing w:val="6"/>
          <w:w w:val="105"/>
        </w:rPr>
        <w:t> </w:t>
      </w:r>
      <w:r>
        <w:rPr>
          <w:w w:val="105"/>
        </w:rPr>
        <w:t>pay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6"/>
          <w:w w:val="105"/>
        </w:rPr>
        <w:t> </w:t>
      </w:r>
      <w:r>
        <w:rPr>
          <w:w w:val="105"/>
        </w:rPr>
        <w:t>market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competitiveness</w:t>
      </w:r>
    </w:p>
    <w:p>
      <w:pPr>
        <w:pStyle w:val="BodyText"/>
        <w:spacing w:line="268" w:lineRule="auto" w:before="36"/>
        <w:ind w:left="23" w:firstLine="0"/>
      </w:pPr>
      <w:r>
        <w:rPr/>
        <w:t>Data-driven</w:t>
      </w:r>
      <w:r>
        <w:rPr>
          <w:spacing w:val="40"/>
        </w:rPr>
        <w:t> </w:t>
      </w:r>
      <w:r>
        <w:rPr/>
        <w:t>HR</w:t>
      </w:r>
      <w:r>
        <w:rPr>
          <w:spacing w:val="40"/>
        </w:rPr>
        <w:t> </w:t>
      </w:r>
      <w:r>
        <w:rPr/>
        <w:t>professional</w:t>
      </w:r>
      <w:r>
        <w:rPr>
          <w:spacing w:val="22"/>
        </w:rPr>
        <w:t> </w:t>
      </w:r>
      <w:r>
        <w:rPr/>
        <w:t>with</w:t>
      </w:r>
      <w:r>
        <w:rPr>
          <w:spacing w:val="40"/>
        </w:rPr>
        <w:t> </w:t>
      </w:r>
      <w:r>
        <w:rPr/>
        <w:t>7</w:t>
      </w:r>
      <w:r>
        <w:rPr>
          <w:spacing w:val="32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34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designing</w:t>
      </w:r>
      <w:r>
        <w:rPr>
          <w:spacing w:val="40"/>
        </w:rPr>
        <w:t> </w:t>
      </w:r>
      <w:r>
        <w:rPr/>
        <w:t>compensation</w:t>
      </w:r>
      <w:r>
        <w:rPr>
          <w:spacing w:val="40"/>
        </w:rPr>
        <w:t> </w:t>
      </w:r>
      <w:r>
        <w:rPr/>
        <w:t>structures,</w:t>
      </w:r>
      <w:r>
        <w:rPr>
          <w:spacing w:val="40"/>
        </w:rPr>
        <w:t> </w:t>
      </w:r>
      <w:r>
        <w:rPr/>
        <w:t>analyzing</w:t>
      </w:r>
      <w:r>
        <w:rPr>
          <w:spacing w:val="40"/>
        </w:rPr>
        <w:t> </w:t>
      </w:r>
      <w:r>
        <w:rPr/>
        <w:t>salary</w:t>
      </w:r>
      <w:r>
        <w:rPr>
          <w:spacing w:val="32"/>
        </w:rPr>
        <w:t> </w:t>
      </w:r>
      <w:r>
        <w:rPr/>
        <w:t>benchmarks,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supporting pay</w:t>
      </w:r>
      <w:r>
        <w:rPr>
          <w:spacing w:val="31"/>
        </w:rPr>
        <w:t> </w:t>
      </w:r>
      <w:r>
        <w:rPr/>
        <w:t>equity</w:t>
      </w:r>
      <w:r>
        <w:rPr>
          <w:spacing w:val="31"/>
        </w:rPr>
        <w:t> </w:t>
      </w:r>
      <w:r>
        <w:rPr/>
        <w:t>reviews.</w:t>
      </w:r>
      <w:r>
        <w:rPr>
          <w:spacing w:val="39"/>
        </w:rPr>
        <w:t> </w:t>
      </w:r>
      <w:r>
        <w:rPr/>
        <w:t>Strong</w:t>
      </w:r>
      <w:r>
        <w:rPr>
          <w:spacing w:val="39"/>
        </w:rPr>
        <w:t> </w:t>
      </w:r>
      <w:r>
        <w:rPr/>
        <w:t>foundation</w:t>
      </w:r>
      <w:r>
        <w:rPr>
          <w:spacing w:val="39"/>
        </w:rPr>
        <w:t> </w:t>
      </w:r>
      <w:r>
        <w:rPr/>
        <w:t>in</w:t>
      </w:r>
      <w:r>
        <w:rPr>
          <w:spacing w:val="39"/>
        </w:rPr>
        <w:t> </w:t>
      </w:r>
      <w:r>
        <w:rPr/>
        <w:t>Excel</w:t>
      </w:r>
      <w:r>
        <w:rPr>
          <w:spacing w:val="29"/>
        </w:rPr>
        <w:t> </w:t>
      </w:r>
      <w:r>
        <w:rPr/>
        <w:t>modeling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HRIS</w:t>
      </w:r>
      <w:r>
        <w:rPr>
          <w:spacing w:val="39"/>
        </w:rPr>
        <w:t> </w:t>
      </w:r>
      <w:r>
        <w:rPr/>
        <w:t>reporting.</w:t>
      </w:r>
      <w:r>
        <w:rPr>
          <w:spacing w:val="29"/>
        </w:rPr>
        <w:t> </w:t>
      </w:r>
      <w:r>
        <w:rPr/>
        <w:t>Adept</w:t>
      </w:r>
      <w:r>
        <w:rPr>
          <w:spacing w:val="39"/>
        </w:rPr>
        <w:t> </w:t>
      </w:r>
      <w:r>
        <w:rPr/>
        <w:t>at</w:t>
      </w:r>
      <w:r>
        <w:rPr>
          <w:spacing w:val="39"/>
        </w:rPr>
        <w:t> </w:t>
      </w:r>
      <w:r>
        <w:rPr/>
        <w:t>guiding</w:t>
      </w:r>
      <w:r>
        <w:rPr>
          <w:spacing w:val="39"/>
        </w:rPr>
        <w:t> </w:t>
      </w:r>
      <w:r>
        <w:rPr/>
        <w:t>managers</w:t>
      </w:r>
      <w:r>
        <w:rPr>
          <w:spacing w:val="39"/>
        </w:rPr>
        <w:t> </w:t>
      </w:r>
      <w:r>
        <w:rPr/>
        <w:t>through</w:t>
      </w:r>
      <w:r>
        <w:rPr>
          <w:spacing w:val="39"/>
        </w:rPr>
        <w:t> </w:t>
      </w:r>
      <w:r>
        <w:rPr/>
        <w:t>pay</w:t>
      </w:r>
      <w:r>
        <w:rPr>
          <w:spacing w:val="31"/>
        </w:rPr>
        <w:t> </w:t>
      </w:r>
      <w:r>
        <w:rPr/>
        <w:t>decisions</w:t>
      </w:r>
      <w:r>
        <w:rPr>
          <w:spacing w:val="31"/>
        </w:rPr>
        <w:t> </w:t>
      </w:r>
      <w:r>
        <w:rPr/>
        <w:t>with transparency and fairness.</w:t>
      </w:r>
    </w:p>
    <w:p>
      <w:pPr>
        <w:pStyle w:val="BodyText"/>
        <w:spacing w:before="73"/>
        <w:ind w:firstLine="0"/>
      </w:pPr>
    </w:p>
    <w:p>
      <w:pPr>
        <w:pStyle w:val="Heading2"/>
      </w:pPr>
      <w:r>
        <w:rPr>
          <w:color w:val="F98B78"/>
          <w:sz w:val="35"/>
        </w:rPr>
        <w:t>K</w:t>
      </w:r>
      <w:r>
        <w:rPr>
          <w:color w:val="F98B78"/>
        </w:rPr>
        <w:t>ey</w:t>
      </w:r>
      <w:r>
        <w:rPr>
          <w:color w:val="F98B78"/>
          <w:spacing w:val="10"/>
        </w:rPr>
        <w:t> </w:t>
      </w:r>
      <w:r>
        <w:rPr>
          <w:color w:val="F98B78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65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Salary</w:t>
      </w:r>
      <w:r>
        <w:rPr>
          <w:spacing w:val="4"/>
          <w:w w:val="105"/>
          <w:sz w:val="15"/>
        </w:rPr>
        <w:t> </w:t>
      </w:r>
      <w:r>
        <w:rPr>
          <w:spacing w:val="-2"/>
          <w:w w:val="105"/>
          <w:sz w:val="15"/>
        </w:rPr>
        <w:t>benchmarking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Compensation</w:t>
      </w:r>
      <w:r>
        <w:rPr>
          <w:spacing w:val="31"/>
          <w:w w:val="105"/>
          <w:sz w:val="15"/>
        </w:rPr>
        <w:t> </w:t>
      </w:r>
      <w:r>
        <w:rPr>
          <w:spacing w:val="-2"/>
          <w:w w:val="105"/>
          <w:sz w:val="15"/>
        </w:rPr>
        <w:t>surveys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Total</w:t>
      </w:r>
      <w:r>
        <w:rPr>
          <w:spacing w:val="4"/>
          <w:sz w:val="15"/>
        </w:rPr>
        <w:t> </w:t>
      </w:r>
      <w:r>
        <w:rPr>
          <w:sz w:val="15"/>
        </w:rPr>
        <w:t>rewards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strategy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65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5"/>
        </w:rPr>
        <w:t>Job</w:t>
      </w:r>
      <w:r>
        <w:rPr>
          <w:spacing w:val="3"/>
          <w:w w:val="105"/>
          <w:sz w:val="15"/>
        </w:rPr>
        <w:t> </w:t>
      </w:r>
      <w:r>
        <w:rPr>
          <w:spacing w:val="-2"/>
          <w:w w:val="105"/>
          <w:sz w:val="15"/>
        </w:rPr>
        <w:t>leveling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Pay</w:t>
      </w:r>
      <w:r>
        <w:rPr>
          <w:spacing w:val="13"/>
          <w:sz w:val="15"/>
        </w:rPr>
        <w:t> </w:t>
      </w:r>
      <w:r>
        <w:rPr>
          <w:sz w:val="15"/>
        </w:rPr>
        <w:t>equity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analysis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324" w:space="1080"/>
            <w:col w:w="6533"/>
          </w:cols>
        </w:sectPr>
      </w:pPr>
    </w:p>
    <w:p>
      <w:pPr>
        <w:pStyle w:val="Heading2"/>
        <w:spacing w:before="2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f98b78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4029074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17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6381749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02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2238374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6.24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98B78"/>
          <w:sz w:val="35"/>
        </w:rPr>
        <w:t>P</w:t>
      </w:r>
      <w:r>
        <w:rPr>
          <w:color w:val="F98B78"/>
        </w:rPr>
        <w:t>rofessional</w:t>
      </w:r>
      <w:r>
        <w:rPr>
          <w:color w:val="F98B78"/>
          <w:spacing w:val="75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line="290" w:lineRule="auto" w:before="264"/>
        <w:ind w:left="358" w:right="4865" w:firstLine="0"/>
      </w:pPr>
      <w:r>
        <w:rPr>
          <w:w w:val="105"/>
        </w:rPr>
        <w:t>Compensation Analyst </w:t>
      </w:r>
      <w:r>
        <w:rPr>
          <w:w w:val="85"/>
        </w:rPr>
        <w:t>|</w:t>
      </w:r>
      <w:r>
        <w:rPr>
          <w:w w:val="105"/>
        </w:rPr>
        <w:t> Everest Medical Systems, Boston, MA March 2020 </w:t>
      </w:r>
      <w:r>
        <w:rPr>
          <w:w w:val="125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Conduct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annual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salary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benchmarking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using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industry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surveys,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supporting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equitable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pay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for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400+</w:t>
      </w:r>
      <w:r>
        <w:rPr>
          <w:spacing w:val="7"/>
          <w:w w:val="105"/>
          <w:sz w:val="15"/>
        </w:rPr>
        <w:t> </w:t>
      </w:r>
      <w:r>
        <w:rPr>
          <w:spacing w:val="-2"/>
          <w:w w:val="105"/>
          <w:sz w:val="15"/>
        </w:rPr>
        <w:t>roles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Collaborate</w:t>
      </w:r>
      <w:r>
        <w:rPr>
          <w:spacing w:val="17"/>
          <w:sz w:val="15"/>
        </w:rPr>
        <w:t> </w:t>
      </w:r>
      <w:r>
        <w:rPr>
          <w:sz w:val="15"/>
        </w:rPr>
        <w:t>with</w:t>
      </w:r>
      <w:r>
        <w:rPr>
          <w:spacing w:val="25"/>
          <w:sz w:val="15"/>
        </w:rPr>
        <w:t> </w:t>
      </w:r>
      <w:r>
        <w:rPr>
          <w:sz w:val="15"/>
        </w:rPr>
        <w:t>finance</w:t>
      </w:r>
      <w:r>
        <w:rPr>
          <w:spacing w:val="24"/>
          <w:sz w:val="15"/>
        </w:rPr>
        <w:t> </w:t>
      </w:r>
      <w:r>
        <w:rPr>
          <w:sz w:val="15"/>
        </w:rPr>
        <w:t>on</w:t>
      </w:r>
      <w:r>
        <w:rPr>
          <w:spacing w:val="24"/>
          <w:sz w:val="15"/>
        </w:rPr>
        <w:t> </w:t>
      </w:r>
      <w:r>
        <w:rPr>
          <w:sz w:val="15"/>
        </w:rPr>
        <w:t>merit</w:t>
      </w:r>
      <w:r>
        <w:rPr>
          <w:spacing w:val="24"/>
          <w:sz w:val="15"/>
        </w:rPr>
        <w:t> </w:t>
      </w:r>
      <w:r>
        <w:rPr>
          <w:sz w:val="15"/>
        </w:rPr>
        <w:t>increase</w:t>
      </w:r>
      <w:r>
        <w:rPr>
          <w:spacing w:val="24"/>
          <w:sz w:val="15"/>
        </w:rPr>
        <w:t> </w:t>
      </w:r>
      <w:r>
        <w:rPr>
          <w:sz w:val="15"/>
        </w:rPr>
        <w:t>cycles</w:t>
      </w:r>
      <w:r>
        <w:rPr>
          <w:spacing w:val="25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z w:val="15"/>
        </w:rPr>
        <w:t>budget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modeling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Developed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compensation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dashboard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in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Excel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that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reduced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manual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reporting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time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by </w:t>
      </w:r>
      <w:r>
        <w:rPr>
          <w:spacing w:val="-5"/>
          <w:w w:val="105"/>
          <w:sz w:val="15"/>
        </w:rPr>
        <w:t>50%</w:t>
      </w:r>
    </w:p>
    <w:p>
      <w:pPr>
        <w:pStyle w:val="BodyText"/>
        <w:spacing w:line="268" w:lineRule="auto" w:before="169"/>
        <w:ind w:left="358" w:right="5773" w:firstLine="0"/>
      </w:pPr>
      <w:r>
        <w:rPr>
          <w:w w:val="105"/>
        </w:rPr>
        <w:t>HR</w:t>
      </w:r>
      <w:r>
        <w:rPr>
          <w:spacing w:val="-6"/>
          <w:w w:val="105"/>
        </w:rPr>
        <w:t> </w:t>
      </w:r>
      <w:r>
        <w:rPr>
          <w:w w:val="105"/>
        </w:rPr>
        <w:t>Generalist </w:t>
      </w:r>
      <w:r>
        <w:rPr>
          <w:w w:val="85"/>
        </w:rPr>
        <w:t>|</w:t>
      </w:r>
      <w:r>
        <w:rPr>
          <w:w w:val="105"/>
        </w:rPr>
        <w:t> Hanover</w:t>
      </w:r>
      <w:r>
        <w:rPr>
          <w:spacing w:val="-10"/>
          <w:w w:val="105"/>
        </w:rPr>
        <w:t> </w:t>
      </w:r>
      <w:r>
        <w:rPr>
          <w:w w:val="105"/>
        </w:rPr>
        <w:t>Retail</w:t>
      </w:r>
      <w:r>
        <w:rPr>
          <w:spacing w:val="-11"/>
          <w:w w:val="105"/>
        </w:rPr>
        <w:t> </w:t>
      </w:r>
      <w:r>
        <w:rPr>
          <w:w w:val="105"/>
        </w:rPr>
        <w:t>Group,</w:t>
      </w:r>
      <w:r>
        <w:rPr>
          <w:spacing w:val="-6"/>
          <w:w w:val="105"/>
        </w:rPr>
        <w:t> </w:t>
      </w:r>
      <w:r>
        <w:rPr>
          <w:w w:val="105"/>
        </w:rPr>
        <w:t>Boston,</w:t>
      </w:r>
      <w:r>
        <w:rPr>
          <w:spacing w:val="-6"/>
          <w:w w:val="105"/>
        </w:rPr>
        <w:t> </w:t>
      </w:r>
      <w:r>
        <w:rPr>
          <w:w w:val="105"/>
        </w:rPr>
        <w:t>MA June 2016 </w:t>
      </w:r>
      <w:r>
        <w:rPr>
          <w:w w:val="125"/>
        </w:rPr>
        <w:t>– </w:t>
      </w:r>
      <w:r>
        <w:rPr>
          <w:w w:val="105"/>
        </w:rPr>
        <w:t>February 2020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4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Managed</w:t>
      </w:r>
      <w:r>
        <w:rPr>
          <w:spacing w:val="31"/>
          <w:sz w:val="15"/>
        </w:rPr>
        <w:t> </w:t>
      </w:r>
      <w:r>
        <w:rPr>
          <w:sz w:val="15"/>
        </w:rPr>
        <w:t>job</w:t>
      </w:r>
      <w:r>
        <w:rPr>
          <w:spacing w:val="31"/>
          <w:sz w:val="15"/>
        </w:rPr>
        <w:t> </w:t>
      </w:r>
      <w:r>
        <w:rPr>
          <w:sz w:val="15"/>
        </w:rPr>
        <w:t>descriptions</w:t>
      </w:r>
      <w:r>
        <w:rPr>
          <w:spacing w:val="32"/>
          <w:sz w:val="15"/>
        </w:rPr>
        <w:t> </w:t>
      </w:r>
      <w:r>
        <w:rPr>
          <w:sz w:val="15"/>
        </w:rPr>
        <w:t>and</w:t>
      </w:r>
      <w:r>
        <w:rPr>
          <w:spacing w:val="31"/>
          <w:sz w:val="15"/>
        </w:rPr>
        <w:t> </w:t>
      </w:r>
      <w:r>
        <w:rPr>
          <w:sz w:val="15"/>
        </w:rPr>
        <w:t>salary</w:t>
      </w:r>
      <w:r>
        <w:rPr>
          <w:spacing w:val="25"/>
          <w:sz w:val="15"/>
        </w:rPr>
        <w:t> </w:t>
      </w:r>
      <w:r>
        <w:rPr>
          <w:sz w:val="15"/>
        </w:rPr>
        <w:t>review</w:t>
      </w:r>
      <w:r>
        <w:rPr>
          <w:spacing w:val="24"/>
          <w:sz w:val="15"/>
        </w:rPr>
        <w:t> </w:t>
      </w:r>
      <w:r>
        <w:rPr>
          <w:sz w:val="15"/>
        </w:rPr>
        <w:t>requests</w:t>
      </w:r>
      <w:r>
        <w:rPr>
          <w:spacing w:val="32"/>
          <w:sz w:val="15"/>
        </w:rPr>
        <w:t> </w:t>
      </w:r>
      <w:r>
        <w:rPr>
          <w:sz w:val="15"/>
        </w:rPr>
        <w:t>for</w:t>
      </w:r>
      <w:r>
        <w:rPr>
          <w:spacing w:val="24"/>
          <w:sz w:val="15"/>
        </w:rPr>
        <w:t> </w:t>
      </w:r>
      <w:r>
        <w:rPr>
          <w:sz w:val="15"/>
        </w:rPr>
        <w:t>growing</w:t>
      </w:r>
      <w:r>
        <w:rPr>
          <w:spacing w:val="32"/>
          <w:sz w:val="15"/>
        </w:rPr>
        <w:t> </w:t>
      </w:r>
      <w:r>
        <w:rPr>
          <w:spacing w:val="-2"/>
          <w:sz w:val="15"/>
        </w:rPr>
        <w:t>departments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Supported</w:t>
      </w:r>
      <w:r>
        <w:rPr>
          <w:spacing w:val="36"/>
          <w:sz w:val="15"/>
        </w:rPr>
        <w:t> </w:t>
      </w:r>
      <w:r>
        <w:rPr>
          <w:sz w:val="15"/>
        </w:rPr>
        <w:t>HR</w:t>
      </w:r>
      <w:r>
        <w:rPr>
          <w:spacing w:val="37"/>
          <w:sz w:val="15"/>
        </w:rPr>
        <w:t> </w:t>
      </w:r>
      <w:r>
        <w:rPr>
          <w:sz w:val="15"/>
        </w:rPr>
        <w:t>leadership</w:t>
      </w:r>
      <w:r>
        <w:rPr>
          <w:spacing w:val="29"/>
          <w:sz w:val="15"/>
        </w:rPr>
        <w:t> </w:t>
      </w:r>
      <w:r>
        <w:rPr>
          <w:sz w:val="15"/>
        </w:rPr>
        <w:t>with</w:t>
      </w:r>
      <w:r>
        <w:rPr>
          <w:spacing w:val="37"/>
          <w:sz w:val="15"/>
        </w:rPr>
        <w:t> </w:t>
      </w:r>
      <w:r>
        <w:rPr>
          <w:sz w:val="15"/>
        </w:rPr>
        <w:t>comp</w:t>
      </w:r>
      <w:r>
        <w:rPr>
          <w:spacing w:val="36"/>
          <w:sz w:val="15"/>
        </w:rPr>
        <w:t> </w:t>
      </w:r>
      <w:r>
        <w:rPr>
          <w:sz w:val="15"/>
        </w:rPr>
        <w:t>planning</w:t>
      </w:r>
      <w:r>
        <w:rPr>
          <w:spacing w:val="37"/>
          <w:sz w:val="15"/>
        </w:rPr>
        <w:t> </w:t>
      </w:r>
      <w:r>
        <w:rPr>
          <w:spacing w:val="-2"/>
          <w:sz w:val="15"/>
        </w:rPr>
        <w:t>documentation</w:t>
      </w:r>
    </w:p>
    <w:p>
      <w:pPr>
        <w:pStyle w:val="Heading2"/>
        <w:spacing w:before="186"/>
      </w:pPr>
      <w:r>
        <w:rPr>
          <w:color w:val="F98B78"/>
          <w:spacing w:val="-2"/>
          <w:sz w:val="35"/>
        </w:rPr>
        <w:t>E</w:t>
      </w:r>
      <w:r>
        <w:rPr>
          <w:color w:val="F98B78"/>
          <w:spacing w:val="-2"/>
        </w:rPr>
        <w:t>ducation</w:t>
      </w:r>
    </w:p>
    <w:p>
      <w:pPr>
        <w:pStyle w:val="BodyText"/>
        <w:spacing w:before="280"/>
        <w:ind w:left="358" w:firstLine="0"/>
      </w:pPr>
      <w:r>
        <w:rPr/>
        <w:t>Bachelor</w:t>
      </w:r>
      <w:r>
        <w:rPr>
          <w:spacing w:val="11"/>
        </w:rPr>
        <w:t> </w:t>
      </w:r>
      <w:r>
        <w:rPr/>
        <w:t>of</w:t>
      </w:r>
      <w:r>
        <w:rPr>
          <w:spacing w:val="13"/>
        </w:rPr>
        <w:t> </w:t>
      </w:r>
      <w:r>
        <w:rPr/>
        <w:t>Science</w:t>
      </w:r>
      <w:r>
        <w:rPr>
          <w:spacing w:val="17"/>
        </w:rPr>
        <w:t> </w:t>
      </w:r>
      <w:r>
        <w:rPr/>
        <w:t>in</w:t>
      </w:r>
      <w:r>
        <w:rPr>
          <w:spacing w:val="17"/>
        </w:rPr>
        <w:t> </w:t>
      </w:r>
      <w:r>
        <w:rPr/>
        <w:t>Economics</w:t>
      </w:r>
      <w:r>
        <w:rPr>
          <w:spacing w:val="39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Northeastern</w:t>
      </w:r>
      <w:r>
        <w:rPr>
          <w:spacing w:val="17"/>
        </w:rPr>
        <w:t> </w:t>
      </w:r>
      <w:r>
        <w:rPr/>
        <w:t>University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Boston,</w:t>
      </w:r>
      <w:r>
        <w:rPr>
          <w:spacing w:val="18"/>
        </w:rPr>
        <w:t> </w:t>
      </w:r>
      <w:r>
        <w:rPr/>
        <w:t>MA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0"/>
      <w:ind w:left="154"/>
      <w:outlineLvl w:val="1"/>
    </w:pPr>
    <w:rPr>
      <w:rFonts w:ascii="Microsoft Sans Serif" w:hAnsi="Microsoft Sans Serif" w:eastAsia="Microsoft Sans Serif" w:cs="Microsoft Sans Serif"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2026-02-12T07:13:49Z</dcterms:created>
  <dcterms:modified xsi:type="dcterms:W3CDTF">2026-02-12T07:13:49Z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