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00008B"/>
          <w:spacing w:val="11"/>
          <w:w w:val="130"/>
          <w:sz w:val="63"/>
        </w:rPr>
        <w:t>Jessa</w:t>
      </w:r>
      <w:r>
        <w:rPr>
          <w:rFonts w:ascii="Calibri"/>
          <w:b/>
          <w:color w:val="00008B"/>
          <w:spacing w:val="78"/>
          <w:w w:val="130"/>
          <w:sz w:val="63"/>
        </w:rPr>
        <w:t> </w:t>
      </w:r>
      <w:r>
        <w:rPr>
          <w:rFonts w:ascii="Calibri"/>
          <w:color w:val="00008B"/>
          <w:spacing w:val="8"/>
          <w:w w:val="130"/>
          <w:sz w:val="63"/>
        </w:rPr>
        <w:t>Ramirez</w:t>
      </w:r>
    </w:p>
    <w:p>
      <w:pPr>
        <w:spacing w:before="124"/>
        <w:ind w:left="154" w:right="0" w:firstLine="0"/>
        <w:jc w:val="left"/>
        <w:rPr>
          <w:rFonts w:ascii="Calibri"/>
          <w:sz w:val="18"/>
        </w:rPr>
      </w:pPr>
      <w:r>
        <w:rPr>
          <w:rFonts w:ascii="Calibri"/>
          <w:color w:val="00008B"/>
          <w:w w:val="125"/>
          <w:sz w:val="18"/>
        </w:rPr>
        <w:t>Multi-Family</w:t>
      </w:r>
      <w:r>
        <w:rPr>
          <w:rFonts w:ascii="Calibri"/>
          <w:color w:val="00008B"/>
          <w:spacing w:val="6"/>
          <w:w w:val="125"/>
          <w:sz w:val="18"/>
        </w:rPr>
        <w:t> </w:t>
      </w:r>
      <w:r>
        <w:rPr>
          <w:rFonts w:ascii="Calibri"/>
          <w:color w:val="00008B"/>
          <w:w w:val="125"/>
          <w:sz w:val="18"/>
        </w:rPr>
        <w:t>Construction</w:t>
      </w:r>
      <w:r>
        <w:rPr>
          <w:rFonts w:ascii="Calibri"/>
          <w:color w:val="00008B"/>
          <w:spacing w:val="7"/>
          <w:w w:val="125"/>
          <w:sz w:val="18"/>
        </w:rPr>
        <w:t> </w:t>
      </w:r>
      <w:r>
        <w:rPr>
          <w:rFonts w:ascii="Calibri"/>
          <w:color w:val="00008B"/>
          <w:w w:val="125"/>
          <w:sz w:val="18"/>
        </w:rPr>
        <w:t>Project</w:t>
      </w:r>
      <w:r>
        <w:rPr>
          <w:rFonts w:ascii="Calibri"/>
          <w:color w:val="00008B"/>
          <w:spacing w:val="7"/>
          <w:w w:val="125"/>
          <w:sz w:val="18"/>
        </w:rPr>
        <w:t> </w:t>
      </w:r>
      <w:r>
        <w:rPr>
          <w:rFonts w:ascii="Calibri"/>
          <w:color w:val="00008B"/>
          <w:spacing w:val="-2"/>
          <w:w w:val="125"/>
          <w:sz w:val="18"/>
        </w:rPr>
        <w:t>Manager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(555)</w:t>
      </w:r>
      <w:r>
        <w:rPr>
          <w:spacing w:val="10"/>
          <w:sz w:val="13"/>
        </w:rPr>
        <w:t> </w:t>
      </w:r>
      <w:r>
        <w:rPr>
          <w:sz w:val="13"/>
        </w:rPr>
        <w:t>678-1234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City,</w:t>
      </w:r>
      <w:r>
        <w:rPr>
          <w:spacing w:val="10"/>
          <w:sz w:val="13"/>
        </w:rPr>
        <w:t> </w:t>
      </w:r>
      <w:r>
        <w:rPr>
          <w:sz w:val="13"/>
        </w:rPr>
        <w:t>ST</w:t>
      </w:r>
      <w:r>
        <w:rPr>
          <w:spacing w:val="33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z w:val="13"/>
          </w:rPr>
          <w:t>jessaramirez@email.com</w:t>
        </w:r>
      </w:hyperlink>
      <w:r>
        <w:rPr>
          <w:spacing w:val="34"/>
          <w:sz w:val="13"/>
        </w:rPr>
        <w:t> </w:t>
      </w:r>
      <w:r>
        <w:rPr>
          <w:sz w:val="9"/>
        </w:rPr>
        <w:t>•</w:t>
      </w:r>
      <w:r>
        <w:rPr>
          <w:spacing w:val="45"/>
          <w:sz w:val="9"/>
        </w:rPr>
        <w:t> </w:t>
      </w:r>
      <w:r>
        <w:rPr>
          <w:sz w:val="13"/>
        </w:rPr>
        <w:t>LinkedIn</w:t>
      </w:r>
      <w:r>
        <w:rPr>
          <w:spacing w:val="10"/>
          <w:sz w:val="13"/>
        </w:rPr>
        <w:t> </w:t>
      </w:r>
      <w:r>
        <w:rPr>
          <w:spacing w:val="-5"/>
          <w:sz w:val="13"/>
        </w:rPr>
        <w:t>URL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Heading2"/>
      </w:pPr>
      <w:r>
        <w:rPr/>
        <w:t>Multi-family</w:t>
      </w:r>
      <w:r>
        <w:rPr>
          <w:spacing w:val="20"/>
        </w:rPr>
        <w:t> </w:t>
      </w:r>
      <w:r>
        <w:rPr/>
        <w:t>construction</w:t>
      </w:r>
      <w:r>
        <w:rPr>
          <w:spacing w:val="28"/>
        </w:rPr>
        <w:t> </w:t>
      </w:r>
      <w:r>
        <w:rPr/>
        <w:t>project</w:t>
      </w:r>
      <w:r>
        <w:rPr>
          <w:spacing w:val="27"/>
        </w:rPr>
        <w:t> </w:t>
      </w:r>
      <w:r>
        <w:rPr/>
        <w:t>manager</w:t>
      </w:r>
      <w:r>
        <w:rPr>
          <w:spacing w:val="14"/>
        </w:rPr>
        <w:t> </w:t>
      </w:r>
      <w:r>
        <w:rPr/>
        <w:t>with</w:t>
      </w:r>
      <w:r>
        <w:rPr>
          <w:spacing w:val="28"/>
        </w:rPr>
        <w:t> </w:t>
      </w:r>
      <w:r>
        <w:rPr/>
        <w:t>expertise</w:t>
      </w:r>
      <w:r>
        <w:rPr>
          <w:spacing w:val="27"/>
        </w:rPr>
        <w:t> </w:t>
      </w:r>
      <w:r>
        <w:rPr/>
        <w:t>in</w:t>
      </w:r>
      <w:r>
        <w:rPr>
          <w:spacing w:val="28"/>
        </w:rPr>
        <w:t> </w:t>
      </w:r>
      <w:r>
        <w:rPr/>
        <w:t>large</w:t>
      </w:r>
      <w:r>
        <w:rPr>
          <w:spacing w:val="27"/>
        </w:rPr>
        <w:t> </w:t>
      </w:r>
      <w:r>
        <w:rPr/>
        <w:t>residential</w:t>
      </w:r>
      <w:r>
        <w:rPr>
          <w:spacing w:val="21"/>
        </w:rPr>
        <w:t> </w:t>
      </w:r>
      <w:r>
        <w:rPr>
          <w:spacing w:val="-2"/>
        </w:rPr>
        <w:t>developments</w:t>
      </w:r>
    </w:p>
    <w:p>
      <w:pPr>
        <w:pStyle w:val="BodyText"/>
        <w:spacing w:line="268" w:lineRule="auto" w:before="35"/>
        <w:ind w:left="23"/>
      </w:pPr>
      <w:r>
        <w:rPr/>
        <w:t>Results-driven</w:t>
      </w:r>
      <w:r>
        <w:rPr>
          <w:spacing w:val="38"/>
        </w:rPr>
        <w:t> </w:t>
      </w:r>
      <w:r>
        <w:rPr/>
        <w:t>construction</w:t>
      </w:r>
      <w:r>
        <w:rPr>
          <w:spacing w:val="38"/>
        </w:rPr>
        <w:t> </w:t>
      </w:r>
      <w:r>
        <w:rPr/>
        <w:t>manager</w:t>
      </w:r>
      <w:r>
        <w:rPr>
          <w:spacing w:val="23"/>
        </w:rPr>
        <w:t> </w:t>
      </w:r>
      <w:r>
        <w:rPr/>
        <w:t>with</w:t>
      </w:r>
      <w:r>
        <w:rPr>
          <w:spacing w:val="38"/>
        </w:rPr>
        <w:t> </w:t>
      </w:r>
      <w:r>
        <w:rPr/>
        <w:t>12+</w:t>
      </w:r>
      <w:r>
        <w:rPr>
          <w:spacing w:val="31"/>
        </w:rPr>
        <w:t> </w:t>
      </w:r>
      <w:r>
        <w:rPr/>
        <w:t>years</w:t>
      </w:r>
      <w:r>
        <w:rPr>
          <w:spacing w:val="38"/>
        </w:rPr>
        <w:t> </w:t>
      </w:r>
      <w:r>
        <w:rPr/>
        <w:t>of</w:t>
      </w:r>
      <w:r>
        <w:rPr>
          <w:spacing w:val="33"/>
        </w:rPr>
        <w:t> </w:t>
      </w:r>
      <w:r>
        <w:rPr/>
        <w:t>experience</w:t>
      </w:r>
      <w:r>
        <w:rPr>
          <w:spacing w:val="38"/>
        </w:rPr>
        <w:t> </w:t>
      </w:r>
      <w:r>
        <w:rPr/>
        <w:t>overseeing</w:t>
      </w:r>
      <w:r>
        <w:rPr>
          <w:spacing w:val="38"/>
        </w:rPr>
        <w:t> </w:t>
      </w:r>
      <w:r>
        <w:rPr/>
        <w:t>multi-family</w:t>
      </w:r>
      <w:r>
        <w:rPr>
          <w:spacing w:val="31"/>
        </w:rPr>
        <w:t> </w:t>
      </w:r>
      <w:r>
        <w:rPr/>
        <w:t>housing</w:t>
      </w:r>
      <w:r>
        <w:rPr>
          <w:spacing w:val="38"/>
        </w:rPr>
        <w:t> </w:t>
      </w:r>
      <w:r>
        <w:rPr/>
        <w:t>projects,</w:t>
      </w:r>
      <w:r>
        <w:rPr>
          <w:spacing w:val="38"/>
        </w:rPr>
        <w:t> </w:t>
      </w:r>
      <w:r>
        <w:rPr/>
        <w:t>ensuring</w:t>
      </w:r>
      <w:r>
        <w:rPr>
          <w:spacing w:val="38"/>
        </w:rPr>
        <w:t> </w:t>
      </w:r>
      <w:r>
        <w:rPr/>
        <w:t>quality</w:t>
      </w:r>
      <w:r>
        <w:rPr>
          <w:spacing w:val="31"/>
        </w:rPr>
        <w:t> </w:t>
      </w:r>
      <w:r>
        <w:rPr/>
        <w:t>construction and compliance with zoning laws.</w:t>
      </w:r>
    </w:p>
    <w:p>
      <w:pPr>
        <w:pStyle w:val="BodyText"/>
        <w:spacing w:before="46"/>
      </w:pPr>
    </w:p>
    <w:p>
      <w:pPr>
        <w:pStyle w:val="Heading1"/>
        <w:spacing w:before="1"/>
      </w:pPr>
      <w:r>
        <w:rPr>
          <w:color w:val="00008B"/>
          <w:w w:val="135"/>
          <w:sz w:val="20"/>
        </w:rPr>
        <w:t>K</w:t>
      </w:r>
      <w:r>
        <w:rPr>
          <w:color w:val="00008B"/>
          <w:w w:val="135"/>
        </w:rPr>
        <w:t>ey</w:t>
      </w:r>
      <w:r>
        <w:rPr>
          <w:color w:val="00008B"/>
          <w:spacing w:val="14"/>
          <w:w w:val="135"/>
        </w:rPr>
        <w:t> </w:t>
      </w:r>
      <w:r>
        <w:rPr>
          <w:color w:val="00008B"/>
          <w:spacing w:val="-2"/>
          <w:w w:val="13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182" w:after="0"/>
        <w:ind w:left="655" w:right="38" w:hanging="298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Multi-unit residential project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60" w:after="0"/>
        <w:ind w:left="655" w:right="449" w:hanging="298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Property</w:t>
      </w:r>
      <w:r>
        <w:rPr>
          <w:spacing w:val="-7"/>
          <w:sz w:val="15"/>
        </w:rPr>
        <w:t> </w:t>
      </w:r>
      <w:r>
        <w:rPr>
          <w:sz w:val="15"/>
        </w:rPr>
        <w:t>management </w:t>
      </w:r>
      <w:r>
        <w:rPr>
          <w:spacing w:val="-2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5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5"/>
        </w:rPr>
        <w:t>Budgeting</w:t>
      </w:r>
      <w:r>
        <w:rPr>
          <w:spacing w:val="15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5"/>
          <w:w w:val="105"/>
          <w:sz w:val="15"/>
        </w:rPr>
        <w:t> </w:t>
      </w:r>
      <w:r>
        <w:rPr>
          <w:w w:val="105"/>
          <w:sz w:val="15"/>
        </w:rPr>
        <w:t>cost</w:t>
      </w:r>
      <w:r>
        <w:rPr>
          <w:spacing w:val="15"/>
          <w:w w:val="105"/>
          <w:sz w:val="15"/>
        </w:rPr>
        <w:t> </w:t>
      </w:r>
      <w:r>
        <w:rPr>
          <w:spacing w:val="-2"/>
          <w:w w:val="105"/>
          <w:sz w:val="15"/>
        </w:rPr>
        <w:t>estimation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139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Zoning</w:t>
      </w:r>
      <w:r>
        <w:rPr>
          <w:spacing w:val="24"/>
          <w:sz w:val="15"/>
        </w:rPr>
        <w:t> </w:t>
      </w:r>
      <w:r>
        <w:rPr>
          <w:sz w:val="15"/>
        </w:rPr>
        <w:t>and</w:t>
      </w:r>
      <w:r>
        <w:rPr>
          <w:spacing w:val="24"/>
          <w:sz w:val="15"/>
        </w:rPr>
        <w:t> </w:t>
      </w:r>
      <w:r>
        <w:rPr>
          <w:sz w:val="15"/>
        </w:rPr>
        <w:t>permit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compliance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718" w:space="686"/>
            <w:col w:w="6533"/>
          </w:cols>
        </w:sectPr>
      </w:pPr>
    </w:p>
    <w:p>
      <w:pPr>
        <w:pStyle w:val="BodyText"/>
        <w:spacing w:before="7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00008b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3609974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4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5648324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4.74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6381749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02.49996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00008B"/>
          <w:spacing w:val="2"/>
          <w:w w:val="130"/>
          <w:sz w:val="20"/>
        </w:rPr>
        <w:t>P</w:t>
      </w:r>
      <w:r>
        <w:rPr>
          <w:color w:val="00008B"/>
          <w:spacing w:val="2"/>
          <w:w w:val="130"/>
        </w:rPr>
        <w:t>rofessional</w:t>
      </w:r>
      <w:r>
        <w:rPr>
          <w:color w:val="00008B"/>
          <w:spacing w:val="52"/>
          <w:w w:val="135"/>
        </w:rPr>
        <w:t> </w:t>
      </w:r>
      <w:r>
        <w:rPr>
          <w:color w:val="00008B"/>
          <w:spacing w:val="-2"/>
          <w:w w:val="135"/>
        </w:rPr>
        <w:t>Experience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3767"/>
      </w:pPr>
      <w:r>
        <w:rPr/>
        <w:t>Multi-Family Construction</w:t>
      </w:r>
      <w:r>
        <w:rPr>
          <w:spacing w:val="26"/>
        </w:rPr>
        <w:t> </w:t>
      </w:r>
      <w:r>
        <w:rPr/>
        <w:t>Project</w:t>
      </w:r>
      <w:r>
        <w:rPr>
          <w:spacing w:val="26"/>
        </w:rPr>
        <w:t> </w:t>
      </w:r>
      <w:r>
        <w:rPr/>
        <w:t>Manager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Urban</w:t>
      </w:r>
      <w:r>
        <w:rPr>
          <w:spacing w:val="26"/>
        </w:rPr>
        <w:t> </w:t>
      </w:r>
      <w:r>
        <w:rPr/>
        <w:t>Living</w:t>
      </w:r>
      <w:r>
        <w:rPr>
          <w:spacing w:val="26"/>
        </w:rPr>
        <w:t> </w:t>
      </w:r>
      <w:r>
        <w:rPr/>
        <w:t>Developers,</w:t>
      </w:r>
      <w:r>
        <w:rPr>
          <w:spacing w:val="26"/>
        </w:rPr>
        <w:t> </w:t>
      </w:r>
      <w:r>
        <w:rPr/>
        <w:t>City,</w:t>
      </w:r>
      <w:r>
        <w:rPr>
          <w:spacing w:val="26"/>
        </w:rPr>
        <w:t> </w:t>
      </w:r>
      <w:r>
        <w:rPr/>
        <w:t>ST June 2016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Led</w:t>
      </w:r>
      <w:r>
        <w:rPr>
          <w:spacing w:val="23"/>
          <w:sz w:val="15"/>
        </w:rPr>
        <w:t> </w:t>
      </w:r>
      <w:r>
        <w:rPr>
          <w:sz w:val="15"/>
        </w:rPr>
        <w:t>construction</w:t>
      </w:r>
      <w:r>
        <w:rPr>
          <w:spacing w:val="23"/>
          <w:sz w:val="15"/>
        </w:rPr>
        <w:t> </w:t>
      </w:r>
      <w:r>
        <w:rPr>
          <w:sz w:val="15"/>
        </w:rPr>
        <w:t>of</w:t>
      </w:r>
      <w:r>
        <w:rPr>
          <w:spacing w:val="19"/>
          <w:sz w:val="15"/>
        </w:rPr>
        <w:t> </w:t>
      </w:r>
      <w:r>
        <w:rPr>
          <w:sz w:val="15"/>
        </w:rPr>
        <w:t>a</w:t>
      </w:r>
      <w:r>
        <w:rPr>
          <w:spacing w:val="24"/>
          <w:sz w:val="15"/>
        </w:rPr>
        <w:t> </w:t>
      </w:r>
      <w:r>
        <w:rPr>
          <w:sz w:val="15"/>
        </w:rPr>
        <w:t>500-unit</w:t>
      </w:r>
      <w:r>
        <w:rPr>
          <w:spacing w:val="23"/>
          <w:sz w:val="15"/>
        </w:rPr>
        <w:t> </w:t>
      </w:r>
      <w:r>
        <w:rPr>
          <w:sz w:val="15"/>
        </w:rPr>
        <w:t>apartment</w:t>
      </w:r>
      <w:r>
        <w:rPr>
          <w:spacing w:val="24"/>
          <w:sz w:val="15"/>
        </w:rPr>
        <w:t> </w:t>
      </w:r>
      <w:r>
        <w:rPr>
          <w:sz w:val="15"/>
        </w:rPr>
        <w:t>complex,</w:t>
      </w:r>
      <w:r>
        <w:rPr>
          <w:spacing w:val="23"/>
          <w:sz w:val="15"/>
        </w:rPr>
        <w:t> </w:t>
      </w:r>
      <w:r>
        <w:rPr>
          <w:sz w:val="15"/>
        </w:rPr>
        <w:t>delivering</w:t>
      </w:r>
      <w:r>
        <w:rPr>
          <w:spacing w:val="24"/>
          <w:sz w:val="15"/>
        </w:rPr>
        <w:t> </w:t>
      </w:r>
      <w:r>
        <w:rPr>
          <w:sz w:val="15"/>
        </w:rPr>
        <w:t>it</w:t>
      </w:r>
      <w:r>
        <w:rPr>
          <w:spacing w:val="23"/>
          <w:sz w:val="15"/>
        </w:rPr>
        <w:t> </w:t>
      </w:r>
      <w:r>
        <w:rPr>
          <w:sz w:val="15"/>
        </w:rPr>
        <w:t>$2M</w:t>
      </w:r>
      <w:r>
        <w:rPr>
          <w:spacing w:val="24"/>
          <w:sz w:val="15"/>
        </w:rPr>
        <w:t> </w:t>
      </w:r>
      <w:r>
        <w:rPr>
          <w:sz w:val="15"/>
        </w:rPr>
        <w:t>under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budget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Coordinated</w:t>
      </w:r>
      <w:r>
        <w:rPr>
          <w:spacing w:val="26"/>
          <w:sz w:val="15"/>
        </w:rPr>
        <w:t> </w:t>
      </w:r>
      <w:r>
        <w:rPr>
          <w:sz w:val="15"/>
        </w:rPr>
        <w:t>with</w:t>
      </w:r>
      <w:r>
        <w:rPr>
          <w:spacing w:val="33"/>
          <w:sz w:val="15"/>
        </w:rPr>
        <w:t> </w:t>
      </w:r>
      <w:r>
        <w:rPr>
          <w:sz w:val="15"/>
        </w:rPr>
        <w:t>property</w:t>
      </w:r>
      <w:r>
        <w:rPr>
          <w:spacing w:val="27"/>
          <w:sz w:val="15"/>
        </w:rPr>
        <w:t> </w:t>
      </w:r>
      <w:r>
        <w:rPr>
          <w:sz w:val="15"/>
        </w:rPr>
        <w:t>managers</w:t>
      </w:r>
      <w:r>
        <w:rPr>
          <w:spacing w:val="33"/>
          <w:sz w:val="15"/>
        </w:rPr>
        <w:t> </w:t>
      </w:r>
      <w:r>
        <w:rPr>
          <w:sz w:val="15"/>
        </w:rPr>
        <w:t>to</w:t>
      </w:r>
      <w:r>
        <w:rPr>
          <w:spacing w:val="34"/>
          <w:sz w:val="15"/>
        </w:rPr>
        <w:t> </w:t>
      </w:r>
      <w:r>
        <w:rPr>
          <w:sz w:val="15"/>
        </w:rPr>
        <w:t>schedule</w:t>
      </w:r>
      <w:r>
        <w:rPr>
          <w:spacing w:val="33"/>
          <w:sz w:val="15"/>
        </w:rPr>
        <w:t> </w:t>
      </w:r>
      <w:r>
        <w:rPr>
          <w:sz w:val="15"/>
        </w:rPr>
        <w:t>tenant</w:t>
      </w:r>
      <w:r>
        <w:rPr>
          <w:spacing w:val="34"/>
          <w:sz w:val="15"/>
        </w:rPr>
        <w:t> </w:t>
      </w:r>
      <w:r>
        <w:rPr>
          <w:sz w:val="15"/>
        </w:rPr>
        <w:t>move-ins</w:t>
      </w:r>
      <w:r>
        <w:rPr>
          <w:spacing w:val="33"/>
          <w:sz w:val="15"/>
        </w:rPr>
        <w:t> </w:t>
      </w:r>
      <w:r>
        <w:rPr>
          <w:spacing w:val="-2"/>
          <w:sz w:val="15"/>
        </w:rPr>
        <w:t>seamlessly</w:t>
      </w:r>
    </w:p>
    <w:p>
      <w:pPr>
        <w:pStyle w:val="BodyText"/>
        <w:spacing w:line="290" w:lineRule="auto" w:before="149"/>
        <w:ind w:left="358" w:right="5618"/>
      </w:pPr>
      <w:r>
        <w:rPr/>
        <w:t>Project Engineer </w:t>
      </w:r>
      <w:r>
        <w:rPr>
          <w:w w:val="85"/>
        </w:rPr>
        <w:t>|</w:t>
      </w:r>
      <w:r>
        <w:rPr/>
        <w:t> Residential Builders Inc., City, ST August 2012 </w:t>
      </w:r>
      <w:r>
        <w:rPr>
          <w:w w:val="125"/>
        </w:rPr>
        <w:t>– </w:t>
      </w:r>
      <w:r>
        <w:rPr/>
        <w:t>May 2016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Assisted</w:t>
      </w:r>
      <w:r>
        <w:rPr>
          <w:spacing w:val="31"/>
          <w:sz w:val="15"/>
        </w:rPr>
        <w:t> </w:t>
      </w:r>
      <w:r>
        <w:rPr>
          <w:sz w:val="15"/>
        </w:rPr>
        <w:t>in</w:t>
      </w:r>
      <w:r>
        <w:rPr>
          <w:spacing w:val="31"/>
          <w:sz w:val="15"/>
        </w:rPr>
        <w:t> </w:t>
      </w:r>
      <w:r>
        <w:rPr>
          <w:sz w:val="15"/>
        </w:rPr>
        <w:t>the</w:t>
      </w:r>
      <w:r>
        <w:rPr>
          <w:spacing w:val="31"/>
          <w:sz w:val="15"/>
        </w:rPr>
        <w:t> </w:t>
      </w:r>
      <w:r>
        <w:rPr>
          <w:sz w:val="15"/>
        </w:rPr>
        <w:t>planning</w:t>
      </w:r>
      <w:r>
        <w:rPr>
          <w:spacing w:val="32"/>
          <w:sz w:val="15"/>
        </w:rPr>
        <w:t> </w:t>
      </w:r>
      <w:r>
        <w:rPr>
          <w:sz w:val="15"/>
        </w:rPr>
        <w:t>of</w:t>
      </w:r>
      <w:r>
        <w:rPr>
          <w:spacing w:val="26"/>
          <w:sz w:val="15"/>
        </w:rPr>
        <w:t> </w:t>
      </w:r>
      <w:r>
        <w:rPr>
          <w:sz w:val="15"/>
        </w:rPr>
        <w:t>condominium</w:t>
      </w:r>
      <w:r>
        <w:rPr>
          <w:spacing w:val="31"/>
          <w:sz w:val="15"/>
        </w:rPr>
        <w:t> </w:t>
      </w:r>
      <w:r>
        <w:rPr>
          <w:sz w:val="15"/>
        </w:rPr>
        <w:t>developments</w:t>
      </w:r>
      <w:r>
        <w:rPr>
          <w:spacing w:val="25"/>
          <w:sz w:val="15"/>
        </w:rPr>
        <w:t> </w:t>
      </w:r>
      <w:r>
        <w:rPr>
          <w:sz w:val="15"/>
        </w:rPr>
        <w:t>valued</w:t>
      </w:r>
      <w:r>
        <w:rPr>
          <w:spacing w:val="31"/>
          <w:sz w:val="15"/>
        </w:rPr>
        <w:t> </w:t>
      </w:r>
      <w:r>
        <w:rPr>
          <w:sz w:val="15"/>
        </w:rPr>
        <w:t>at</w:t>
      </w:r>
      <w:r>
        <w:rPr>
          <w:spacing w:val="31"/>
          <w:sz w:val="15"/>
        </w:rPr>
        <w:t> </w:t>
      </w:r>
      <w:r>
        <w:rPr>
          <w:spacing w:val="-4"/>
          <w:sz w:val="15"/>
        </w:rPr>
        <w:t>$100M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Streamlined</w:t>
      </w:r>
      <w:r>
        <w:rPr>
          <w:spacing w:val="29"/>
          <w:sz w:val="15"/>
        </w:rPr>
        <w:t> </w:t>
      </w:r>
      <w:r>
        <w:rPr>
          <w:sz w:val="15"/>
        </w:rPr>
        <w:t>procurement,</w:t>
      </w:r>
      <w:r>
        <w:rPr>
          <w:spacing w:val="30"/>
          <w:sz w:val="15"/>
        </w:rPr>
        <w:t> </w:t>
      </w:r>
      <w:r>
        <w:rPr>
          <w:sz w:val="15"/>
        </w:rPr>
        <w:t>reducing</w:t>
      </w:r>
      <w:r>
        <w:rPr>
          <w:spacing w:val="29"/>
          <w:sz w:val="15"/>
        </w:rPr>
        <w:t> </w:t>
      </w:r>
      <w:r>
        <w:rPr>
          <w:sz w:val="15"/>
        </w:rPr>
        <w:t>project</w:t>
      </w:r>
      <w:r>
        <w:rPr>
          <w:spacing w:val="30"/>
          <w:sz w:val="15"/>
        </w:rPr>
        <w:t> </w:t>
      </w:r>
      <w:r>
        <w:rPr>
          <w:sz w:val="15"/>
        </w:rPr>
        <w:t>costs</w:t>
      </w:r>
      <w:r>
        <w:rPr>
          <w:spacing w:val="30"/>
          <w:sz w:val="15"/>
        </w:rPr>
        <w:t> </w:t>
      </w:r>
      <w:r>
        <w:rPr>
          <w:sz w:val="15"/>
        </w:rPr>
        <w:t>by</w:t>
      </w:r>
      <w:r>
        <w:rPr>
          <w:spacing w:val="23"/>
          <w:sz w:val="15"/>
        </w:rPr>
        <w:t> </w:t>
      </w:r>
      <w:r>
        <w:rPr>
          <w:spacing w:val="-5"/>
          <w:sz w:val="15"/>
        </w:rPr>
        <w:t>15%</w:t>
      </w:r>
    </w:p>
    <w:p>
      <w:pPr>
        <w:pStyle w:val="BodyText"/>
        <w:spacing w:before="8"/>
        <w:rPr>
          <w:sz w:val="16"/>
        </w:rPr>
      </w:pPr>
    </w:p>
    <w:p>
      <w:pPr>
        <w:pStyle w:val="Heading1"/>
      </w:pPr>
      <w:r>
        <w:rPr>
          <w:color w:val="00008B"/>
          <w:spacing w:val="-2"/>
          <w:w w:val="135"/>
          <w:sz w:val="20"/>
        </w:rPr>
        <w:t>E</w:t>
      </w:r>
      <w:r>
        <w:rPr>
          <w:color w:val="00008B"/>
          <w:spacing w:val="-2"/>
          <w:w w:val="135"/>
        </w:rPr>
        <w:t>ducation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ind w:left="358"/>
      </w:pPr>
      <w:r>
        <w:rPr/>
        <w:t>Bachelor</w:t>
      </w:r>
      <w:r>
        <w:rPr>
          <w:spacing w:val="15"/>
        </w:rPr>
        <w:t> </w:t>
      </w:r>
      <w:r>
        <w:rPr/>
        <w:t>of</w:t>
      </w:r>
      <w:r>
        <w:rPr>
          <w:spacing w:val="16"/>
        </w:rPr>
        <w:t> </w:t>
      </w:r>
      <w:r>
        <w:rPr/>
        <w:t>Science</w:t>
      </w:r>
      <w:r>
        <w:rPr>
          <w:spacing w:val="21"/>
        </w:rPr>
        <w:t> </w:t>
      </w:r>
      <w:r>
        <w:rPr/>
        <w:t>in</w:t>
      </w:r>
      <w:r>
        <w:rPr>
          <w:spacing w:val="22"/>
        </w:rPr>
        <w:t> </w:t>
      </w:r>
      <w:r>
        <w:rPr/>
        <w:t>Civil</w:t>
      </w:r>
      <w:r>
        <w:rPr>
          <w:spacing w:val="13"/>
        </w:rPr>
        <w:t> </w:t>
      </w:r>
      <w:r>
        <w:rPr/>
        <w:t>Engineering</w:t>
      </w:r>
      <w:r>
        <w:rPr>
          <w:spacing w:val="42"/>
        </w:rPr>
        <w:t> </w:t>
      </w:r>
      <w:r>
        <w:rPr>
          <w:w w:val="85"/>
        </w:rPr>
        <w:t>|</w:t>
      </w:r>
      <w:r>
        <w:rPr>
          <w:spacing w:val="42"/>
        </w:rPr>
        <w:t> </w:t>
      </w:r>
      <w:r>
        <w:rPr/>
        <w:t>University</w:t>
      </w:r>
      <w:r>
        <w:rPr>
          <w:spacing w:val="16"/>
        </w:rPr>
        <w:t> </w:t>
      </w:r>
      <w:r>
        <w:rPr/>
        <w:t>of</w:t>
      </w:r>
      <w:r>
        <w:rPr>
          <w:spacing w:val="16"/>
        </w:rPr>
        <w:t> </w:t>
      </w:r>
      <w:r>
        <w:rPr/>
        <w:t>Southern</w:t>
      </w:r>
      <w:r>
        <w:rPr>
          <w:spacing w:val="21"/>
        </w:rPr>
        <w:t> </w:t>
      </w:r>
      <w:r>
        <w:rPr/>
        <w:t>California,</w:t>
      </w:r>
      <w:r>
        <w:rPr>
          <w:spacing w:val="22"/>
        </w:rPr>
        <w:t> </w:t>
      </w:r>
      <w:r>
        <w:rPr/>
        <w:t>Los</w:t>
      </w:r>
      <w:r>
        <w:rPr>
          <w:spacing w:val="13"/>
        </w:rPr>
        <w:t> </w:t>
      </w:r>
      <w:r>
        <w:rPr/>
        <w:t>Angeles,</w:t>
      </w:r>
      <w:r>
        <w:rPr>
          <w:spacing w:val="21"/>
        </w:rPr>
        <w:t> </w:t>
      </w:r>
      <w:r>
        <w:rPr>
          <w:spacing w:val="-5"/>
        </w:rPr>
        <w:t>CA</w:t>
      </w: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1"/>
      </w:pPr>
      <w:r>
        <w:rPr>
          <w:color w:val="00008B"/>
          <w:spacing w:val="-2"/>
          <w:w w:val="130"/>
          <w:sz w:val="20"/>
        </w:rPr>
        <w:t>C</w:t>
      </w:r>
      <w:r>
        <w:rPr>
          <w:color w:val="00008B"/>
          <w:spacing w:val="-2"/>
          <w:w w:val="130"/>
        </w:rPr>
        <w:t>ertifications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136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5"/>
        </w:rPr>
        <w:t>OSHA</w:t>
      </w:r>
      <w:r>
        <w:rPr>
          <w:spacing w:val="26"/>
          <w:sz w:val="15"/>
        </w:rPr>
        <w:t> </w:t>
      </w:r>
      <w:r>
        <w:rPr>
          <w:spacing w:val="2"/>
          <w:sz w:val="15"/>
        </w:rPr>
        <w:t>30-Hour</w:t>
      </w:r>
      <w:r>
        <w:rPr>
          <w:spacing w:val="27"/>
          <w:sz w:val="15"/>
        </w:rPr>
        <w:t> </w:t>
      </w:r>
      <w:r>
        <w:rPr>
          <w:spacing w:val="2"/>
          <w:sz w:val="15"/>
        </w:rPr>
        <w:t>Construction</w:t>
      </w:r>
      <w:r>
        <w:rPr>
          <w:spacing w:val="36"/>
          <w:sz w:val="15"/>
        </w:rPr>
        <w:t> </w:t>
      </w:r>
      <w:r>
        <w:rPr>
          <w:spacing w:val="2"/>
          <w:sz w:val="15"/>
        </w:rPr>
        <w:t>Safety</w:t>
      </w:r>
      <w:r>
        <w:rPr>
          <w:spacing w:val="27"/>
          <w:sz w:val="15"/>
        </w:rPr>
        <w:t> </w:t>
      </w:r>
      <w:r>
        <w:rPr>
          <w:spacing w:val="-2"/>
          <w:sz w:val="15"/>
        </w:rPr>
        <w:t>Certification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Certified</w:t>
      </w:r>
      <w:r>
        <w:rPr>
          <w:spacing w:val="42"/>
          <w:sz w:val="15"/>
        </w:rPr>
        <w:t> </w:t>
      </w:r>
      <w:r>
        <w:rPr>
          <w:sz w:val="15"/>
        </w:rPr>
        <w:t>Construction</w:t>
      </w:r>
      <w:r>
        <w:rPr>
          <w:spacing w:val="42"/>
          <w:sz w:val="15"/>
        </w:rPr>
        <w:t> </w:t>
      </w:r>
      <w:r>
        <w:rPr>
          <w:sz w:val="15"/>
        </w:rPr>
        <w:t>Manager</w:t>
      </w:r>
      <w:r>
        <w:rPr>
          <w:spacing w:val="34"/>
          <w:sz w:val="15"/>
        </w:rPr>
        <w:t> </w:t>
      </w:r>
      <w:r>
        <w:rPr>
          <w:spacing w:val="-4"/>
          <w:sz w:val="15"/>
        </w:rPr>
        <w:t>(CCM)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Trebuchet MS" w:hAnsi="Trebuchet MS" w:eastAsia="Trebuchet MS" w:cs="Trebuchet MS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aramir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2026-02-17T00:02:01Z</dcterms:created>
  <dcterms:modified xsi:type="dcterms:W3CDTF">2026-02-17T00:02:01Z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