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981" w:right="0" w:firstLine="0"/>
        <w:jc w:val="center"/>
        <w:rPr>
          <w:rFonts w:ascii="Calibri"/>
          <w:sz w:val="78"/>
        </w:rPr>
      </w:pPr>
      <w:r>
        <w:rPr>
          <w:rFonts w:ascii="Calibri"/>
          <w:b/>
          <w:color w:val="5C2525"/>
          <w:spacing w:val="11"/>
          <w:w w:val="125"/>
          <w:sz w:val="78"/>
        </w:rPr>
        <w:t>Diana</w:t>
      </w:r>
      <w:r>
        <w:rPr>
          <w:rFonts w:ascii="Calibri"/>
          <w:b/>
          <w:color w:val="5C2525"/>
          <w:spacing w:val="67"/>
          <w:w w:val="125"/>
          <w:sz w:val="78"/>
        </w:rPr>
        <w:t> </w:t>
      </w:r>
      <w:r>
        <w:rPr>
          <w:rFonts w:ascii="Calibri"/>
          <w:color w:val="5C2525"/>
          <w:spacing w:val="-2"/>
          <w:w w:val="125"/>
          <w:sz w:val="78"/>
        </w:rPr>
        <w:t>Foster</w:t>
      </w:r>
    </w:p>
    <w:p>
      <w:pPr>
        <w:pStyle w:val="Heading4"/>
      </w:pPr>
      <w:r>
        <w:rPr>
          <w:color w:val="5C2525"/>
          <w:w w:val="130"/>
        </w:rPr>
        <w:t>Real</w:t>
      </w:r>
      <w:r>
        <w:rPr>
          <w:color w:val="5C2525"/>
          <w:spacing w:val="9"/>
          <w:w w:val="130"/>
        </w:rPr>
        <w:t> </w:t>
      </w:r>
      <w:r>
        <w:rPr>
          <w:color w:val="5C2525"/>
          <w:w w:val="130"/>
        </w:rPr>
        <w:t>Estate</w:t>
      </w:r>
      <w:r>
        <w:rPr>
          <w:color w:val="5C2525"/>
          <w:spacing w:val="10"/>
          <w:w w:val="130"/>
        </w:rPr>
        <w:t> </w:t>
      </w:r>
      <w:r>
        <w:rPr>
          <w:color w:val="5C2525"/>
          <w:spacing w:val="-2"/>
          <w:w w:val="130"/>
        </w:rPr>
        <w:t>Consultant</w:t>
      </w:r>
    </w:p>
    <w:p>
      <w:pPr>
        <w:pStyle w:val="BodyText"/>
        <w:spacing w:before="38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3058183</wp:posOffset>
            </wp:positionH>
            <wp:positionV relativeFrom="paragraph">
              <wp:posOffset>194707</wp:posOffset>
            </wp:positionV>
            <wp:extent cx="3935238" cy="257175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5238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Calibri"/>
          <w:b/>
          <w:sz w:val="5"/>
        </w:rPr>
      </w:pPr>
    </w:p>
    <w:p>
      <w:pPr>
        <w:pStyle w:val="BodyText"/>
        <w:spacing w:after="0"/>
        <w:rPr>
          <w:rFonts w:ascii="Calibri"/>
          <w:b/>
          <w:sz w:val="5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rFonts w:ascii="Calibri"/>
          <w:b/>
          <w:sz w:val="26"/>
        </w:rPr>
      </w:pPr>
      <w:r>
        <w:rPr>
          <w:rFonts w:ascii="Calibri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87" y="4324350"/>
                            <a:ext cx="21018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5146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10185" h="2514600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10185" h="25146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210185" h="2514600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210185" h="251460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251460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51460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7051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790950"/>
                            <a:ext cx="190500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219450">
                                <a:moveTo>
                                  <a:pt x="47625" y="3197885"/>
                                </a:moveTo>
                                <a:lnTo>
                                  <a:pt x="31102" y="3181350"/>
                                </a:lnTo>
                                <a:lnTo>
                                  <a:pt x="16535" y="3181350"/>
                                </a:lnTo>
                                <a:lnTo>
                                  <a:pt x="0" y="3197885"/>
                                </a:lnTo>
                                <a:lnTo>
                                  <a:pt x="0" y="3200400"/>
                                </a:lnTo>
                                <a:lnTo>
                                  <a:pt x="0" y="3202927"/>
                                </a:lnTo>
                                <a:lnTo>
                                  <a:pt x="16535" y="3219450"/>
                                </a:lnTo>
                                <a:lnTo>
                                  <a:pt x="31102" y="3219450"/>
                                </a:lnTo>
                                <a:lnTo>
                                  <a:pt x="47625" y="3202927"/>
                                </a:lnTo>
                                <a:lnTo>
                                  <a:pt x="47625" y="3197885"/>
                                </a:lnTo>
                                <a:close/>
                              </a:path>
                              <a:path w="190500" h="3219450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321945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3219450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321945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32194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2194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216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6" o:title=""/>
                </v:shape>
                <v:shape style="position:absolute;left:480;top:5250;width:390;height:375" type="#_x0000_t75" id="docshape4" stroked="false">
                  <v:imagedata r:id="rId7" o:title=""/>
                </v:shape>
                <v:rect style="position:absolute;left:480;top:6255;width:390;height:375" id="docshape5" filled="true" fillcolor="#5c2525" stroked="false">
                  <v:fill type="solid"/>
                </v:rect>
                <v:shape style="position:absolute;left:555;top:6330;width:256;height:226" id="docshape6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7" filled="true" fillcolor="#5c2525" stroked="false">
                  <v:fill type="solid"/>
                </v:rect>
                <v:shape style="position:absolute;left:479;top:6810;width:331;height:3960" id="docshape8" coordorigin="480,6810" coordsize="331,3960" path="m555,10727l554,10722,550,10713,548,10709,541,10702,537,10700,528,10696,523,10695,512,10695,507,10696,498,10700,494,10702,487,10709,485,10713,481,10722,480,10727,480,10733,480,10738,481,10743,485,10752,487,10756,494,10763,498,10765,507,10769,512,10770,523,10770,528,10769,537,10765,541,10763,548,10756,550,10752,554,10743,555,10738,555,10727xm555,10142l554,10137,550,10128,548,10124,541,10117,537,10115,528,10111,523,10110,512,10110,507,10111,498,10115,494,10117,487,10124,485,10128,481,10137,480,10142,480,10148,480,10153,481,10158,485,10167,487,10171,494,10178,498,10180,507,10184,512,10185,523,10185,528,10184,537,10180,541,10178,548,10171,550,10167,554,10158,555,10153,555,10142x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8942l554,8937,550,8928,548,8924,541,8917,537,8915,528,8911,523,8910,512,8910,507,8911,498,8915,494,8917,487,8924,485,8928,481,8937,480,8942,480,8948,480,8953,481,8958,485,8967,487,8971,494,8978,498,8980,507,8984,512,8985,523,8985,528,8984,537,8980,541,8978,548,8971,550,8967,554,8958,555,8953,555,894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4260;width:7590;height:15" id="docshape9" filled="true" fillcolor="#000000" stroked="false">
                  <v:fill opacity="32899f" type="solid"/>
                </v:rect>
                <v:shape style="position:absolute;left:4109;top:5970;width:300;height:5070" id="docshape10" coordorigin="4110,5970" coordsize="300,5070" path="m4185,11006l4184,11002,4181,10995,4179,10992,4173,10986,4170,10984,4163,10981,4159,10980,4136,10980,4132,10981,4125,10984,4122,10986,4116,10992,4114,10995,4111,11002,4110,11006,4110,11010,4110,11014,4111,11018,4114,11025,4116,11028,4122,11034,4125,11036,4132,11039,4136,11040,4159,11040,4163,11039,4170,11036,4173,11034,4179,11028,4181,11025,4184,11018,4185,11014,4185,11006xm4410,9692l4409,9687,4405,9678,4403,9674,4396,9667,4392,9665,4383,9661,4378,9660,4367,9660,4362,9661,4353,9665,4349,9667,4342,9674,4340,9678,4336,9687,4335,9692,4335,9698,4335,9703,4336,9708,4340,9717,4342,9721,4349,9728,4353,9730,4362,9734,4367,9735,4378,9735,4383,9734,4392,9730,4396,9728,4403,9721,4405,9717,4409,9708,4410,9703,4410,9692xm4410,9137l4409,9132,4405,9123,4403,9119,4396,9112,4392,9110,4383,9106,4378,9105,4367,9105,4362,9106,4353,9110,4349,9112,4342,9119,4340,9123,4336,9132,4335,9137,4335,9143,4335,9148,4336,9153,4340,9162,4342,9166,4349,9173,4353,9175,4362,9179,4367,9180,4378,9180,4383,9179,4392,9175,4396,9173,4403,9166,4405,9162,4409,9153,4410,9148,4410,9137xm4410,8567l4409,8562,4405,8553,4403,8549,4396,8542,4392,8540,4383,8536,4378,8535,4367,8535,4362,8536,4353,8540,4349,8542,4342,8549,4340,8553,4336,8562,4335,8567,4335,8573,4335,8578,4336,8583,4340,8592,4342,8596,4349,8603,4353,8605,4362,8609,4367,8610,4378,8610,4383,8609,4392,8605,4396,8603,4403,8596,4405,8592,4409,8583,4410,8578,4410,8567xm4410,7112l4409,7107,4405,7098,4403,7094,4396,7087,4392,7085,4383,7081,4378,7080,4367,7080,4362,7081,4353,7085,4349,7087,4342,7094,4340,7098,4336,7107,4335,7112,4335,7118,4335,7123,4336,7128,4340,7137,4342,7141,4349,7148,4353,7150,4362,7154,4367,7155,4378,7155,4383,7154,4392,7150,4396,7148,4403,7141,4405,7137,4409,7128,4410,7123,4410,7112xm4410,6557l4409,6552,4405,6543,4403,6539,4396,6532,4392,6530,4383,6526,4378,6525,4367,6525,4362,6526,4353,6530,4349,6532,4342,6539,4340,6543,4336,6552,4335,6557,4335,6563,4335,6568,4336,6573,4340,6582,4342,6586,4349,6593,4353,6595,4362,6599,4367,6600,4378,6600,4383,6599,4392,6595,4396,6593,4403,6586,4405,6582,4409,6573,4410,6568,4410,6557xm4410,6002l4409,5997,4405,5988,4403,5984,4396,5977,4392,5975,4383,5971,4378,5970,4367,5970,4362,5971,4353,5975,4349,5977,4342,5984,4340,5988,4336,5997,4335,6002,4335,6008,4335,6013,4336,6018,4340,6027,4342,6031,4349,6038,4353,6040,4362,6044,4367,6045,4378,6045,4383,6044,4392,6040,4396,6038,4403,6031,4405,6027,4409,6018,4410,6013,4410,60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37"/>
        <w:rPr>
          <w:rFonts w:ascii="Calibri"/>
          <w:b/>
          <w:sz w:val="26"/>
        </w:rPr>
      </w:pPr>
    </w:p>
    <w:p>
      <w:pPr>
        <w:pStyle w:val="Heading1"/>
      </w:pPr>
      <w:r>
        <w:rPr>
          <w:smallCaps/>
          <w:color w:val="FFFFFF"/>
          <w:spacing w:val="-2"/>
          <w:w w:val="130"/>
        </w:rPr>
        <w:t>Personal</w:t>
      </w:r>
    </w:p>
    <w:p>
      <w:pPr>
        <w:pStyle w:val="Heading3"/>
      </w:pP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116"/>
        <w:rPr>
          <w:rFonts w:ascii="Calibri"/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15"/>
        </w:rPr>
        <w:t>(555)</w:t>
      </w:r>
      <w:r>
        <w:rPr>
          <w:color w:val="FFFFFF"/>
          <w:spacing w:val="52"/>
          <w:w w:val="115"/>
        </w:rPr>
        <w:t> </w:t>
      </w:r>
      <w:r>
        <w:rPr>
          <w:color w:val="FFFFFF"/>
          <w:w w:val="115"/>
        </w:rPr>
        <w:t>345-</w:t>
      </w:r>
      <w:r>
        <w:rPr>
          <w:color w:val="FFFFFF"/>
          <w:spacing w:val="-4"/>
          <w:w w:val="115"/>
        </w:rPr>
        <w:t>6789</w:t>
      </w:r>
    </w:p>
    <w:p>
      <w:pPr>
        <w:pStyle w:val="BodyText"/>
        <w:spacing w:before="4"/>
      </w:pPr>
    </w:p>
    <w:p>
      <w:pPr>
        <w:pStyle w:val="BodyText"/>
        <w:spacing w:line="379" w:lineRule="auto"/>
        <w:ind w:left="758" w:hanging="562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20"/>
          <w:sz w:val="20"/>
        </w:rPr>
        <w:t> </w:t>
      </w:r>
      <w:hyperlink r:id="rId9">
        <w:r>
          <w:rPr>
            <w:color w:val="FFFFFF"/>
            <w:w w:val="120"/>
          </w:rPr>
          <w:t>diana.foster@email.com</w:t>
        </w:r>
      </w:hyperlink>
      <w:r>
        <w:rPr>
          <w:color w:val="FFFFFF"/>
          <w:w w:val="120"/>
        </w:rPr>
        <w:t> </w:t>
      </w:r>
      <w:r>
        <w:rPr>
          <w:color w:val="FFFFFF"/>
          <w:spacing w:val="-2"/>
          <w:w w:val="120"/>
        </w:rPr>
        <w:t>LinkedIn</w:t>
      </w:r>
    </w:p>
    <w:p>
      <w:pPr>
        <w:pStyle w:val="BodyText"/>
        <w:spacing w:before="148"/>
        <w:ind w:left="758"/>
      </w:pPr>
      <w:r>
        <w:rPr>
          <w:color w:val="FFFFFF"/>
          <w:w w:val="125"/>
        </w:rPr>
        <w:t>Miami,</w:t>
      </w:r>
      <w:r>
        <w:rPr>
          <w:color w:val="FFFFFF"/>
          <w:spacing w:val="20"/>
          <w:w w:val="125"/>
        </w:rPr>
        <w:t> </w:t>
      </w:r>
      <w:r>
        <w:rPr>
          <w:color w:val="FFFFFF"/>
          <w:spacing w:val="-5"/>
          <w:w w:val="125"/>
        </w:rPr>
        <w:t>FL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>
          <w:smallCaps/>
          <w:color w:val="FFFFFF"/>
          <w:w w:val="135"/>
        </w:rPr>
        <w:t>Key</w:t>
      </w:r>
      <w:r>
        <w:rPr>
          <w:smallCaps/>
          <w:color w:val="FFFFFF"/>
          <w:spacing w:val="4"/>
          <w:w w:val="135"/>
        </w:rPr>
        <w:t> </w:t>
      </w:r>
      <w:r>
        <w:rPr>
          <w:smallCaps/>
          <w:color w:val="FFFFFF"/>
          <w:spacing w:val="-2"/>
          <w:w w:val="135"/>
        </w:rPr>
        <w:t>skills</w:t>
      </w:r>
    </w:p>
    <w:p>
      <w:pPr>
        <w:pStyle w:val="BodyText"/>
        <w:spacing w:before="38"/>
        <w:rPr>
          <w:rFonts w:ascii="Calibri"/>
          <w:b/>
          <w:sz w:val="26"/>
        </w:rPr>
      </w:pPr>
    </w:p>
    <w:p>
      <w:pPr>
        <w:pStyle w:val="BodyText"/>
        <w:spacing w:line="273" w:lineRule="auto"/>
        <w:ind w:left="497"/>
      </w:pPr>
      <w:r>
        <w:rPr>
          <w:color w:val="FFFFFF"/>
          <w:w w:val="120"/>
        </w:rPr>
        <w:t>Property valuation and market analysis</w:t>
      </w:r>
    </w:p>
    <w:p>
      <w:pPr>
        <w:pStyle w:val="BodyText"/>
        <w:spacing w:line="273" w:lineRule="auto" w:before="119"/>
        <w:ind w:left="497"/>
      </w:pPr>
      <w:r>
        <w:rPr>
          <w:color w:val="FFFFFF"/>
          <w:w w:val="120"/>
        </w:rPr>
        <w:t>Real estate investment </w:t>
      </w:r>
      <w:r>
        <w:rPr>
          <w:color w:val="FFFFFF"/>
          <w:spacing w:val="-2"/>
          <w:w w:val="120"/>
        </w:rPr>
        <w:t>strategy</w:t>
      </w:r>
    </w:p>
    <w:p>
      <w:pPr>
        <w:pStyle w:val="BodyText"/>
        <w:spacing w:line="256" w:lineRule="auto" w:before="119"/>
        <w:ind w:left="497"/>
      </w:pPr>
      <w:r>
        <w:rPr>
          <w:color w:val="FFFFFF"/>
          <w:w w:val="120"/>
        </w:rPr>
        <w:t>Commercial and residential property sales</w:t>
      </w:r>
    </w:p>
    <w:p>
      <w:pPr>
        <w:pStyle w:val="BodyText"/>
        <w:spacing w:line="256" w:lineRule="auto" w:before="148"/>
        <w:ind w:left="497" w:right="1"/>
      </w:pPr>
      <w:r>
        <w:rPr>
          <w:color w:val="FFFFFF"/>
          <w:w w:val="120"/>
        </w:rPr>
        <w:t>Contract negotiation and risk assessment</w:t>
      </w:r>
    </w:p>
    <w:p>
      <w:pPr>
        <w:pStyle w:val="BodyText"/>
        <w:spacing w:before="149"/>
        <w:ind w:left="497"/>
      </w:pPr>
      <w:r>
        <w:rPr>
          <w:color w:val="FFFFFF"/>
          <w:w w:val="120"/>
        </w:rPr>
        <w:t>Portfolio</w:t>
      </w:r>
      <w:r>
        <w:rPr>
          <w:color w:val="FFFFFF"/>
          <w:spacing w:val="30"/>
          <w:w w:val="120"/>
        </w:rPr>
        <w:t> </w:t>
      </w:r>
      <w:r>
        <w:rPr>
          <w:color w:val="FFFFFF"/>
          <w:spacing w:val="-2"/>
          <w:w w:val="120"/>
        </w:rPr>
        <w:t>optimization</w:t>
      </w:r>
    </w:p>
    <w:p>
      <w:pPr>
        <w:pStyle w:val="BodyText"/>
        <w:spacing w:line="264" w:lineRule="auto" w:before="100"/>
        <w:ind w:left="181"/>
        <w:jc w:val="center"/>
      </w:pPr>
      <w:r>
        <w:rPr/>
        <w:br w:type="column"/>
      </w:r>
      <w:r>
        <w:rPr>
          <w:color w:val="5C2525"/>
          <w:w w:val="120"/>
        </w:rPr>
        <w:t>Experienced real estate consultant with eight years of experience in commercial and residential real estate advisory, property valuation, and investment strategy.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Heading2"/>
      </w:pPr>
      <w:r>
        <w:rPr>
          <w:color w:val="5C2525"/>
          <w:w w:val="130"/>
          <w:sz w:val="33"/>
        </w:rPr>
        <w:t>P</w:t>
      </w:r>
      <w:r>
        <w:rPr>
          <w:color w:val="5C2525"/>
          <w:w w:val="130"/>
        </w:rPr>
        <w:t>rofessional</w:t>
      </w:r>
      <w:r>
        <w:rPr>
          <w:color w:val="5C2525"/>
          <w:spacing w:val="27"/>
          <w:w w:val="130"/>
        </w:rPr>
        <w:t> </w:t>
      </w:r>
      <w:r>
        <w:rPr>
          <w:color w:val="5C2525"/>
          <w:spacing w:val="-2"/>
          <w:w w:val="130"/>
        </w:rPr>
        <w:t>Experience</w:t>
      </w:r>
    </w:p>
    <w:p>
      <w:pPr>
        <w:pStyle w:val="BodyText"/>
        <w:spacing w:line="324" w:lineRule="auto" w:before="235"/>
        <w:ind w:left="14" w:right="268"/>
      </w:pPr>
      <w:r>
        <w:rPr>
          <w:w w:val="120"/>
        </w:rPr>
        <w:t>REAL ESTATE CONSULTANT | SUMMIT PROPERTY ADVISORS | MIAMI, FL </w:t>
      </w:r>
      <w:r>
        <w:rPr>
          <w:w w:val="125"/>
        </w:rPr>
        <w:t>JUNE 2020 </w:t>
      </w:r>
      <w:r>
        <w:rPr>
          <w:w w:val="165"/>
        </w:rPr>
        <w:t>- </w:t>
      </w:r>
      <w:r>
        <w:rPr>
          <w:w w:val="125"/>
        </w:rPr>
        <w:t>PRESENT</w:t>
      </w:r>
    </w:p>
    <w:p>
      <w:pPr>
        <w:pStyle w:val="BodyText"/>
        <w:spacing w:line="256" w:lineRule="auto" w:before="196"/>
        <w:ind w:left="534" w:right="268"/>
      </w:pPr>
      <w:r>
        <w:rPr>
          <w:w w:val="120"/>
        </w:rPr>
        <w:t>Conducted property valuations and market analysis for clients, increasing ROI by 20%</w:t>
      </w:r>
    </w:p>
    <w:p>
      <w:pPr>
        <w:pStyle w:val="BodyText"/>
        <w:spacing w:before="103"/>
        <w:ind w:left="534"/>
      </w:pPr>
      <w:r>
        <w:rPr>
          <w:w w:val="120"/>
        </w:rPr>
        <w:t>Advised</w:t>
      </w:r>
      <w:r>
        <w:rPr>
          <w:spacing w:val="17"/>
          <w:w w:val="120"/>
        </w:rPr>
        <w:t> </w:t>
      </w:r>
      <w:r>
        <w:rPr>
          <w:w w:val="120"/>
        </w:rPr>
        <w:t>investors</w:t>
      </w:r>
      <w:r>
        <w:rPr>
          <w:spacing w:val="17"/>
          <w:w w:val="120"/>
        </w:rPr>
        <w:t> </w:t>
      </w:r>
      <w:r>
        <w:rPr>
          <w:w w:val="120"/>
        </w:rPr>
        <w:t>on</w:t>
      </w:r>
      <w:r>
        <w:rPr>
          <w:spacing w:val="17"/>
          <w:w w:val="120"/>
        </w:rPr>
        <w:t> </w:t>
      </w:r>
      <w:r>
        <w:rPr>
          <w:w w:val="120"/>
        </w:rPr>
        <w:t>commercial</w:t>
      </w:r>
      <w:r>
        <w:rPr>
          <w:spacing w:val="18"/>
          <w:w w:val="120"/>
        </w:rPr>
        <w:t> </w:t>
      </w:r>
      <w:r>
        <w:rPr>
          <w:w w:val="120"/>
        </w:rPr>
        <w:t>real</w:t>
      </w:r>
      <w:r>
        <w:rPr>
          <w:spacing w:val="17"/>
          <w:w w:val="120"/>
        </w:rPr>
        <w:t> </w:t>
      </w:r>
      <w:r>
        <w:rPr>
          <w:w w:val="120"/>
        </w:rPr>
        <w:t>estate</w:t>
      </w:r>
      <w:r>
        <w:rPr>
          <w:spacing w:val="17"/>
          <w:w w:val="120"/>
        </w:rPr>
        <w:t> </w:t>
      </w:r>
      <w:r>
        <w:rPr>
          <w:w w:val="120"/>
        </w:rPr>
        <w:t>opportunities,</w:t>
      </w:r>
      <w:r>
        <w:rPr>
          <w:spacing w:val="18"/>
          <w:w w:val="120"/>
        </w:rPr>
        <w:t> </w:t>
      </w:r>
      <w:r>
        <w:rPr>
          <w:spacing w:val="-2"/>
          <w:w w:val="120"/>
        </w:rPr>
        <w:t>securing</w:t>
      </w:r>
    </w:p>
    <w:p>
      <w:pPr>
        <w:pStyle w:val="BodyText"/>
        <w:spacing w:before="29"/>
        <w:ind w:left="534"/>
      </w:pPr>
      <w:r>
        <w:rPr>
          <w:w w:val="120"/>
        </w:rPr>
        <w:t>$15</w:t>
      </w:r>
      <w:r>
        <w:rPr>
          <w:spacing w:val="6"/>
          <w:w w:val="120"/>
        </w:rPr>
        <w:t> </w:t>
      </w:r>
      <w:r>
        <w:rPr>
          <w:w w:val="120"/>
        </w:rPr>
        <w:t>million</w:t>
      </w:r>
      <w:r>
        <w:rPr>
          <w:spacing w:val="6"/>
          <w:w w:val="120"/>
        </w:rPr>
        <w:t> </w:t>
      </w:r>
      <w:r>
        <w:rPr>
          <w:w w:val="120"/>
        </w:rPr>
        <w:t>in</w:t>
      </w:r>
      <w:r>
        <w:rPr>
          <w:spacing w:val="6"/>
          <w:w w:val="120"/>
        </w:rPr>
        <w:t> </w:t>
      </w:r>
      <w:r>
        <w:rPr>
          <w:spacing w:val="-4"/>
          <w:w w:val="120"/>
        </w:rPr>
        <w:t>deals</w:t>
      </w:r>
    </w:p>
    <w:p>
      <w:pPr>
        <w:pStyle w:val="BodyText"/>
        <w:spacing w:line="273" w:lineRule="auto" w:before="104"/>
        <w:ind w:left="534" w:right="268"/>
      </w:pPr>
      <w:r>
        <w:rPr>
          <w:w w:val="120"/>
        </w:rPr>
        <w:t>Negotiated lease agreements and contracts, reducing client risks by </w:t>
      </w:r>
      <w:r>
        <w:rPr>
          <w:spacing w:val="-4"/>
          <w:w w:val="120"/>
        </w:rPr>
        <w:t>30%</w:t>
      </w:r>
    </w:p>
    <w:p>
      <w:pPr>
        <w:pStyle w:val="BodyText"/>
        <w:spacing w:line="340" w:lineRule="auto" w:before="209"/>
        <w:ind w:left="14" w:right="864"/>
      </w:pPr>
      <w:r>
        <w:rPr>
          <w:w w:val="120"/>
        </w:rPr>
        <w:t>REAL ESTATE ANALYST | METRO REALTY GROUP | ORLANDO, FL </w:t>
      </w:r>
      <w:r>
        <w:rPr>
          <w:w w:val="125"/>
        </w:rPr>
        <w:t>JULY 2015 </w:t>
      </w:r>
      <w:r>
        <w:rPr>
          <w:w w:val="165"/>
        </w:rPr>
        <w:t>- </w:t>
      </w:r>
      <w:r>
        <w:rPr>
          <w:w w:val="125"/>
        </w:rPr>
        <w:t>MAY 2020</w:t>
      </w:r>
    </w:p>
    <w:p>
      <w:pPr>
        <w:pStyle w:val="BodyText"/>
        <w:spacing w:line="273" w:lineRule="auto" w:before="166"/>
        <w:ind w:left="534" w:right="264"/>
      </w:pPr>
      <w:r>
        <w:rPr>
          <w:w w:val="120"/>
        </w:rPr>
        <w:t>Managed property assessments and investment feasibility studies for high-net-worth clients</w:t>
      </w:r>
    </w:p>
    <w:p>
      <w:pPr>
        <w:pStyle w:val="BodyText"/>
        <w:spacing w:line="256" w:lineRule="auto" w:before="88"/>
        <w:ind w:left="534"/>
      </w:pPr>
      <w:r>
        <w:rPr>
          <w:w w:val="120"/>
        </w:rPr>
        <w:t>Assisted in land acquisition research, leading to strategic purchases for </w:t>
      </w:r>
      <w:r>
        <w:rPr>
          <w:spacing w:val="-2"/>
          <w:w w:val="120"/>
        </w:rPr>
        <w:t>developers</w:t>
      </w:r>
    </w:p>
    <w:p>
      <w:pPr>
        <w:pStyle w:val="BodyText"/>
        <w:spacing w:line="256" w:lineRule="auto" w:before="104"/>
        <w:ind w:left="534"/>
      </w:pPr>
      <w:r>
        <w:rPr>
          <w:w w:val="120"/>
        </w:rPr>
        <w:t>Created</w:t>
      </w:r>
      <w:r>
        <w:rPr>
          <w:spacing w:val="30"/>
          <w:w w:val="120"/>
        </w:rPr>
        <w:t> </w:t>
      </w:r>
      <w:r>
        <w:rPr>
          <w:w w:val="120"/>
        </w:rPr>
        <w:t>data-driven</w:t>
      </w:r>
      <w:r>
        <w:rPr>
          <w:spacing w:val="30"/>
          <w:w w:val="120"/>
        </w:rPr>
        <w:t> </w:t>
      </w:r>
      <w:r>
        <w:rPr>
          <w:w w:val="120"/>
        </w:rPr>
        <w:t>reports</w:t>
      </w:r>
      <w:r>
        <w:rPr>
          <w:spacing w:val="30"/>
          <w:w w:val="120"/>
        </w:rPr>
        <w:t> </w:t>
      </w:r>
      <w:r>
        <w:rPr>
          <w:w w:val="120"/>
        </w:rPr>
        <w:t>on</w:t>
      </w:r>
      <w:r>
        <w:rPr>
          <w:spacing w:val="30"/>
          <w:w w:val="120"/>
        </w:rPr>
        <w:t> </w:t>
      </w:r>
      <w:r>
        <w:rPr>
          <w:w w:val="120"/>
        </w:rPr>
        <w:t>real</w:t>
      </w:r>
      <w:r>
        <w:rPr>
          <w:spacing w:val="30"/>
          <w:w w:val="120"/>
        </w:rPr>
        <w:t> </w:t>
      </w:r>
      <w:r>
        <w:rPr>
          <w:w w:val="120"/>
        </w:rPr>
        <w:t>estate</w:t>
      </w:r>
      <w:r>
        <w:rPr>
          <w:spacing w:val="30"/>
          <w:w w:val="120"/>
        </w:rPr>
        <w:t> </w:t>
      </w:r>
      <w:r>
        <w:rPr>
          <w:w w:val="120"/>
        </w:rPr>
        <w:t>trends,</w:t>
      </w:r>
      <w:r>
        <w:rPr>
          <w:spacing w:val="30"/>
          <w:w w:val="120"/>
        </w:rPr>
        <w:t> </w:t>
      </w:r>
      <w:r>
        <w:rPr>
          <w:w w:val="120"/>
        </w:rPr>
        <w:t>improving</w:t>
      </w:r>
      <w:r>
        <w:rPr>
          <w:spacing w:val="30"/>
          <w:w w:val="120"/>
        </w:rPr>
        <w:t> </w:t>
      </w:r>
      <w:r>
        <w:rPr>
          <w:w w:val="120"/>
        </w:rPr>
        <w:t>decision-making for clients</w:t>
      </w:r>
    </w:p>
    <w:p>
      <w:pPr>
        <w:pStyle w:val="BodyText"/>
        <w:spacing w:before="19"/>
      </w:pPr>
    </w:p>
    <w:p>
      <w:pPr>
        <w:pStyle w:val="Heading2"/>
      </w:pPr>
      <w:r>
        <w:rPr>
          <w:color w:val="5C2525"/>
          <w:spacing w:val="-2"/>
          <w:w w:val="130"/>
          <w:sz w:val="33"/>
        </w:rPr>
        <w:t>E</w:t>
      </w:r>
      <w:r>
        <w:rPr>
          <w:color w:val="5C2525"/>
          <w:spacing w:val="-2"/>
          <w:w w:val="130"/>
        </w:rPr>
        <w:t>ducation</w:t>
      </w:r>
    </w:p>
    <w:p>
      <w:pPr>
        <w:pStyle w:val="BodyText"/>
        <w:spacing w:before="235"/>
        <w:ind w:left="311"/>
      </w:pPr>
      <w:r>
        <w:rPr>
          <w:w w:val="120"/>
        </w:rPr>
        <w:t>Bachelor</w:t>
      </w:r>
      <w:r>
        <w:rPr>
          <w:spacing w:val="9"/>
          <w:w w:val="120"/>
        </w:rPr>
        <w:t> </w:t>
      </w:r>
      <w:r>
        <w:rPr>
          <w:w w:val="120"/>
        </w:rPr>
        <w:t>of</w:t>
      </w:r>
      <w:r>
        <w:rPr>
          <w:spacing w:val="9"/>
          <w:w w:val="120"/>
        </w:rPr>
        <w:t> </w:t>
      </w:r>
      <w:r>
        <w:rPr>
          <w:w w:val="120"/>
        </w:rPr>
        <w:t>Science</w:t>
      </w:r>
      <w:r>
        <w:rPr>
          <w:spacing w:val="10"/>
          <w:w w:val="120"/>
        </w:rPr>
        <w:t> </w:t>
      </w:r>
      <w:r>
        <w:rPr>
          <w:w w:val="120"/>
        </w:rPr>
        <w:t>in</w:t>
      </w:r>
      <w:r>
        <w:rPr>
          <w:spacing w:val="9"/>
          <w:w w:val="120"/>
        </w:rPr>
        <w:t> </w:t>
      </w:r>
      <w:r>
        <w:rPr>
          <w:w w:val="120"/>
        </w:rPr>
        <w:t>Real</w:t>
      </w:r>
      <w:r>
        <w:rPr>
          <w:spacing w:val="10"/>
          <w:w w:val="120"/>
        </w:rPr>
        <w:t> </w:t>
      </w:r>
      <w:r>
        <w:rPr>
          <w:w w:val="120"/>
        </w:rPr>
        <w:t>Estate</w:t>
      </w:r>
      <w:r>
        <w:rPr>
          <w:spacing w:val="9"/>
          <w:w w:val="120"/>
        </w:rPr>
        <w:t> </w:t>
      </w:r>
      <w:r>
        <w:rPr>
          <w:w w:val="120"/>
        </w:rPr>
        <w:t>&amp;</w:t>
      </w:r>
      <w:r>
        <w:rPr>
          <w:spacing w:val="10"/>
          <w:w w:val="120"/>
        </w:rPr>
        <w:t> </w:t>
      </w:r>
      <w:r>
        <w:rPr>
          <w:spacing w:val="-2"/>
          <w:w w:val="120"/>
        </w:rPr>
        <w:t>Finance</w:t>
      </w:r>
    </w:p>
    <w:p>
      <w:pPr>
        <w:pStyle w:val="BodyText"/>
        <w:spacing w:before="74"/>
        <w:ind w:left="311"/>
      </w:pPr>
      <w:r>
        <w:rPr>
          <w:w w:val="120"/>
        </w:rPr>
        <w:t>Florida</w:t>
      </w:r>
      <w:r>
        <w:rPr>
          <w:spacing w:val="21"/>
          <w:w w:val="120"/>
        </w:rPr>
        <w:t> </w:t>
      </w:r>
      <w:r>
        <w:rPr>
          <w:w w:val="120"/>
        </w:rPr>
        <w:t>State</w:t>
      </w:r>
      <w:r>
        <w:rPr>
          <w:spacing w:val="22"/>
          <w:w w:val="120"/>
        </w:rPr>
        <w:t> </w:t>
      </w:r>
      <w:r>
        <w:rPr>
          <w:w w:val="120"/>
        </w:rPr>
        <w:t>University,</w:t>
      </w:r>
      <w:r>
        <w:rPr>
          <w:spacing w:val="21"/>
          <w:w w:val="120"/>
        </w:rPr>
        <w:t> </w:t>
      </w:r>
      <w:r>
        <w:rPr>
          <w:w w:val="120"/>
        </w:rPr>
        <w:t>Tallahassee,</w:t>
      </w:r>
      <w:r>
        <w:rPr>
          <w:spacing w:val="22"/>
          <w:w w:val="120"/>
        </w:rPr>
        <w:t> </w:t>
      </w:r>
      <w:r>
        <w:rPr>
          <w:w w:val="120"/>
        </w:rPr>
        <w:t>FL</w:t>
      </w:r>
      <w:r>
        <w:rPr>
          <w:spacing w:val="22"/>
          <w:w w:val="120"/>
        </w:rPr>
        <w:t> </w:t>
      </w:r>
      <w:r>
        <w:rPr>
          <w:w w:val="120"/>
        </w:rPr>
        <w:t>|</w:t>
      </w:r>
      <w:r>
        <w:rPr>
          <w:spacing w:val="21"/>
          <w:w w:val="120"/>
        </w:rPr>
        <w:t> </w:t>
      </w:r>
      <w:r>
        <w:rPr>
          <w:w w:val="120"/>
        </w:rPr>
        <w:t>May</w:t>
      </w:r>
      <w:r>
        <w:rPr>
          <w:spacing w:val="22"/>
          <w:w w:val="120"/>
        </w:rPr>
        <w:t> </w:t>
      </w:r>
      <w:r>
        <w:rPr>
          <w:spacing w:val="-4"/>
          <w:w w:val="120"/>
        </w:rPr>
        <w:t>2015</w:t>
      </w:r>
    </w:p>
    <w:sectPr>
      <w:type w:val="continuous"/>
      <w:pgSz w:w="11920" w:h="16860"/>
      <w:pgMar w:top="980" w:bottom="280" w:left="283" w:right="425"/>
      <w:cols w:num="2" w:equalWidth="0">
        <w:col w:w="3122" w:space="691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14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1"/>
      <w:ind w:left="3992"/>
      <w:jc w:val="center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iana.fos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2026-02-27T13:34:56Z</dcterms:created>
  <dcterms:modified xsi:type="dcterms:W3CDTF">2026-02-27T13:34:56Z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