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43" w:right="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25A6FF"/>
          <w:w w:val="130"/>
          <w:sz w:val="70"/>
        </w:rPr>
        <w:t>Sam</w:t>
      </w:r>
      <w:r>
        <w:rPr>
          <w:rFonts w:ascii="Calibri"/>
          <w:b/>
          <w:color w:val="25A6FF"/>
          <w:spacing w:val="-3"/>
          <w:w w:val="130"/>
          <w:sz w:val="70"/>
        </w:rPr>
        <w:t> </w:t>
      </w:r>
      <w:r>
        <w:rPr>
          <w:rFonts w:ascii="Calibri"/>
          <w:color w:val="25A6FF"/>
          <w:spacing w:val="-2"/>
          <w:w w:val="130"/>
          <w:sz w:val="70"/>
        </w:rPr>
        <w:t>Wright</w:t>
      </w:r>
    </w:p>
    <w:p>
      <w:pPr>
        <w:pStyle w:val="Heading1"/>
        <w:ind w:left="4243" w:right="3"/>
        <w:jc w:val="center"/>
        <w:rPr>
          <w:rFonts w:ascii="Calibri"/>
        </w:rPr>
      </w:pPr>
      <w:r>
        <w:rPr>
          <w:rFonts w:ascii="Calibri"/>
          <w:color w:val="25A6FF"/>
          <w:w w:val="130"/>
        </w:rPr>
        <w:t>Senior</w:t>
      </w:r>
      <w:r>
        <w:rPr>
          <w:rFonts w:ascii="Calibri"/>
          <w:color w:val="25A6FF"/>
          <w:spacing w:val="-3"/>
          <w:w w:val="130"/>
        </w:rPr>
        <w:t> </w:t>
      </w:r>
      <w:r>
        <w:rPr>
          <w:rFonts w:ascii="Calibri"/>
          <w:color w:val="25A6FF"/>
          <w:w w:val="130"/>
        </w:rPr>
        <w:t>Real</w:t>
      </w:r>
      <w:r>
        <w:rPr>
          <w:rFonts w:ascii="Calibri"/>
          <w:color w:val="25A6FF"/>
          <w:spacing w:val="-3"/>
          <w:w w:val="130"/>
        </w:rPr>
        <w:t> </w:t>
      </w:r>
      <w:r>
        <w:rPr>
          <w:rFonts w:ascii="Calibri"/>
          <w:color w:val="25A6FF"/>
          <w:w w:val="130"/>
        </w:rPr>
        <w:t>Estate</w:t>
      </w:r>
      <w:r>
        <w:rPr>
          <w:rFonts w:ascii="Calibri"/>
          <w:color w:val="25A6FF"/>
          <w:spacing w:val="-3"/>
          <w:w w:val="130"/>
        </w:rPr>
        <w:t> </w:t>
      </w:r>
      <w:r>
        <w:rPr>
          <w:rFonts w:ascii="Calibri"/>
          <w:color w:val="25A6FF"/>
          <w:spacing w:val="-2"/>
          <w:w w:val="130"/>
        </w:rPr>
        <w:t>Consultant</w:t>
      </w:r>
    </w:p>
    <w:p>
      <w:pPr>
        <w:spacing w:before="218"/>
        <w:ind w:left="4243" w:right="3" w:firstLine="0"/>
        <w:jc w:val="center"/>
        <w:rPr>
          <w:b/>
          <w:sz w:val="18"/>
        </w:rPr>
      </w:pPr>
      <w:r>
        <w:rPr>
          <w:b/>
          <w:w w:val="105"/>
          <w:sz w:val="18"/>
        </w:rPr>
        <w:t>Strategic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Real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Estate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Consultant</w:t>
      </w:r>
      <w:r>
        <w:rPr>
          <w:b/>
          <w:spacing w:val="-8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broad</w:t>
      </w:r>
      <w:r>
        <w:rPr>
          <w:b/>
          <w:spacing w:val="-2"/>
          <w:w w:val="105"/>
          <w:sz w:val="18"/>
        </w:rPr>
        <w:t> </w:t>
      </w:r>
      <w:r>
        <w:rPr>
          <w:b/>
          <w:w w:val="105"/>
          <w:sz w:val="18"/>
        </w:rPr>
        <w:t>transactional</w:t>
      </w:r>
      <w:r>
        <w:rPr>
          <w:b/>
          <w:spacing w:val="-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experience</w:t>
      </w:r>
    </w:p>
    <w:p>
      <w:pPr>
        <w:pStyle w:val="BodyText"/>
        <w:spacing w:line="288" w:lineRule="auto" w:before="166"/>
        <w:ind w:left="4243"/>
        <w:jc w:val="center"/>
      </w:pPr>
      <w:r>
        <w:rPr>
          <w:w w:val="105"/>
        </w:rPr>
        <w:t>Seasoned Real</w:t>
      </w:r>
      <w:r>
        <w:rPr>
          <w:spacing w:val="-6"/>
          <w:w w:val="105"/>
        </w:rPr>
        <w:t> </w:t>
      </w:r>
      <w:r>
        <w:rPr>
          <w:w w:val="105"/>
        </w:rPr>
        <w:t>Estate Professional</w:t>
      </w:r>
      <w:r>
        <w:rPr>
          <w:spacing w:val="-12"/>
          <w:w w:val="105"/>
        </w:rPr>
        <w:t> </w:t>
      </w:r>
      <w:r>
        <w:rPr>
          <w:w w:val="105"/>
        </w:rPr>
        <w:t>with over</w:t>
      </w:r>
      <w:r>
        <w:rPr>
          <w:spacing w:val="-5"/>
          <w:w w:val="105"/>
        </w:rPr>
        <w:t> </w:t>
      </w:r>
      <w:r>
        <w:rPr>
          <w:w w:val="105"/>
        </w:rPr>
        <w:t>12</w:t>
      </w:r>
      <w:r>
        <w:rPr>
          <w:spacing w:val="-5"/>
          <w:w w:val="105"/>
        </w:rPr>
        <w:t> </w:t>
      </w:r>
      <w:r>
        <w:rPr>
          <w:w w:val="105"/>
        </w:rPr>
        <w:t>years in advisory</w:t>
      </w:r>
      <w:r>
        <w:rPr>
          <w:spacing w:val="-5"/>
          <w:w w:val="105"/>
        </w:rPr>
        <w:t> </w:t>
      </w:r>
      <w:r>
        <w:rPr>
          <w:w w:val="105"/>
        </w:rPr>
        <w:t>roles, focusing on commercial and mixed-use development. Offers expert insights into property valuation, zoning issues, and investor strategy. Known for</w:t>
      </w:r>
      <w:r>
        <w:rPr>
          <w:spacing w:val="-2"/>
          <w:w w:val="105"/>
        </w:rPr>
        <w:t> </w:t>
      </w:r>
      <w:r>
        <w:rPr>
          <w:w w:val="105"/>
        </w:rPr>
        <w:t>working alongside developers,</w:t>
      </w:r>
      <w:r>
        <w:rPr>
          <w:spacing w:val="-8"/>
          <w:w w:val="105"/>
        </w:rPr>
        <w:t> </w:t>
      </w:r>
      <w:r>
        <w:rPr>
          <w:w w:val="105"/>
        </w:rPr>
        <w:t>law</w:t>
      </w:r>
      <w:r>
        <w:rPr>
          <w:spacing w:val="-14"/>
          <w:w w:val="105"/>
        </w:rPr>
        <w:t> </w:t>
      </w:r>
      <w:r>
        <w:rPr>
          <w:w w:val="105"/>
        </w:rPr>
        <w:t>firms,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financial</w:t>
      </w:r>
      <w:r>
        <w:rPr>
          <w:spacing w:val="-14"/>
          <w:w w:val="105"/>
        </w:rPr>
        <w:t> </w:t>
      </w:r>
      <w:r>
        <w:rPr>
          <w:w w:val="105"/>
        </w:rPr>
        <w:t>institutions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deliver</w:t>
      </w:r>
      <w:r>
        <w:rPr>
          <w:spacing w:val="-13"/>
          <w:w w:val="105"/>
        </w:rPr>
        <w:t> </w:t>
      </w:r>
      <w:r>
        <w:rPr>
          <w:w w:val="105"/>
        </w:rPr>
        <w:t>profitable</w:t>
      </w:r>
      <w:r>
        <w:rPr>
          <w:spacing w:val="-8"/>
          <w:w w:val="105"/>
        </w:rPr>
        <w:t> </w:t>
      </w:r>
      <w:r>
        <w:rPr>
          <w:w w:val="105"/>
        </w:rPr>
        <w:t>real</w:t>
      </w:r>
      <w:r>
        <w:rPr>
          <w:spacing w:val="-14"/>
          <w:w w:val="105"/>
        </w:rPr>
        <w:t> </w:t>
      </w:r>
      <w:r>
        <w:rPr>
          <w:w w:val="105"/>
        </w:rPr>
        <w:t>estate </w:t>
      </w:r>
      <w:r>
        <w:rPr>
          <w:spacing w:val="-2"/>
          <w:w w:val="105"/>
        </w:rPr>
        <w:t>outcomes.</w:t>
      </w:r>
    </w:p>
    <w:p>
      <w:pPr>
        <w:pStyle w:val="BodyText"/>
        <w:spacing w:before="3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920" w:bottom="280" w:left="141" w:right="283"/>
        </w:sectPr>
      </w:pPr>
    </w:p>
    <w:p>
      <w:pPr>
        <w:spacing w:before="11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25A6FF"/>
          <w:w w:val="130"/>
          <w:sz w:val="16"/>
        </w:rPr>
        <w:t>Personal</w:t>
      </w:r>
      <w:r>
        <w:rPr>
          <w:rFonts w:ascii="Calibri"/>
          <w:b/>
          <w:smallCaps/>
          <w:color w:val="25A6FF"/>
          <w:spacing w:val="20"/>
          <w:w w:val="130"/>
          <w:sz w:val="16"/>
        </w:rPr>
        <w:t> </w:t>
      </w:r>
      <w:r>
        <w:rPr>
          <w:rFonts w:ascii="Calibri"/>
          <w:b/>
          <w:smallCaps/>
          <w:color w:val="25A6FF"/>
          <w:spacing w:val="-2"/>
          <w:w w:val="130"/>
          <w:sz w:val="16"/>
        </w:rPr>
        <w:t>Information</w:t>
      </w:r>
    </w:p>
    <w:p>
      <w:pPr>
        <w:pStyle w:val="BodyText"/>
        <w:spacing w:before="150"/>
        <w:rPr>
          <w:rFonts w:ascii="Calibri"/>
          <w:b/>
          <w:sz w:val="13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(555)</w:t>
      </w:r>
      <w:r>
        <w:rPr>
          <w:color w:val="1F1F1F"/>
          <w:sz w:val="20"/>
        </w:rPr>
        <w:t> </w:t>
      </w:r>
      <w:r>
        <w:rPr>
          <w:color w:val="1F1F1F"/>
          <w:spacing w:val="-2"/>
          <w:sz w:val="20"/>
        </w:rPr>
        <w:t>777-</w:t>
      </w:r>
      <w:r>
        <w:rPr>
          <w:color w:val="1F1F1F"/>
          <w:spacing w:val="-4"/>
          <w:sz w:val="20"/>
        </w:rPr>
        <w:t>9999</w:t>
      </w:r>
    </w:p>
    <w:p>
      <w:pPr>
        <w:spacing w:line="448" w:lineRule="auto" w:before="187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05"/>
            <w:sz w:val="20"/>
          </w:rPr>
          <w:t>samwright@email.com</w:t>
        </w:r>
      </w:hyperlink>
      <w:r>
        <w:rPr>
          <w:color w:val="1F1F1F"/>
          <w:spacing w:val="-2"/>
          <w:w w:val="105"/>
          <w:sz w:val="20"/>
        </w:rPr>
        <w:t> LinkedIn</w:t>
      </w:r>
    </w:p>
    <w:p>
      <w:pPr>
        <w:spacing w:line="219" w:lineRule="exact" w:before="0"/>
        <w:ind w:left="1012" w:right="0" w:firstLine="0"/>
        <w:jc w:val="left"/>
        <w:rPr>
          <w:sz w:val="20"/>
        </w:rPr>
      </w:pPr>
      <w:r>
        <w:rPr>
          <w:color w:val="1F1F1F"/>
          <w:spacing w:val="-8"/>
          <w:sz w:val="20"/>
        </w:rPr>
        <w:t>City, </w:t>
      </w:r>
      <w:r>
        <w:rPr>
          <w:color w:val="1F1F1F"/>
          <w:spacing w:val="-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25A6FF"/>
          <w:w w:val="135"/>
          <w:sz w:val="16"/>
        </w:rPr>
        <w:t>Key</w:t>
      </w:r>
      <w:r>
        <w:rPr>
          <w:rFonts w:ascii="Calibri"/>
          <w:b/>
          <w:smallCaps/>
          <w:color w:val="25A6FF"/>
          <w:spacing w:val="17"/>
          <w:w w:val="135"/>
          <w:sz w:val="16"/>
        </w:rPr>
        <w:t> </w:t>
      </w:r>
      <w:r>
        <w:rPr>
          <w:rFonts w:ascii="Calibri"/>
          <w:b/>
          <w:smallCaps/>
          <w:color w:val="25A6FF"/>
          <w:spacing w:val="-2"/>
          <w:w w:val="135"/>
          <w:sz w:val="16"/>
        </w:rPr>
        <w:t>Skills</w:t>
      </w:r>
    </w:p>
    <w:p>
      <w:pPr>
        <w:pStyle w:val="BodyText"/>
        <w:spacing w:before="124"/>
        <w:rPr>
          <w:rFonts w:ascii="Calibri"/>
          <w:b/>
          <w:sz w:val="13"/>
        </w:rPr>
      </w:pPr>
    </w:p>
    <w:p>
      <w:pPr>
        <w:pStyle w:val="BodyText"/>
        <w:ind w:left="678"/>
      </w:pPr>
      <w:r>
        <w:rPr>
          <w:w w:val="105"/>
        </w:rPr>
        <w:t>Asset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valuation</w:t>
      </w:r>
    </w:p>
    <w:p>
      <w:pPr>
        <w:pStyle w:val="BodyText"/>
        <w:spacing w:line="374" w:lineRule="auto" w:before="106"/>
        <w:ind w:left="678" w:right="38"/>
      </w:pPr>
      <w:r>
        <w:rPr>
          <w:w w:val="105"/>
        </w:rPr>
        <w:t>Capital</w:t>
      </w:r>
      <w:r>
        <w:rPr>
          <w:spacing w:val="-10"/>
          <w:w w:val="105"/>
        </w:rPr>
        <w:t> </w:t>
      </w:r>
      <w:r>
        <w:rPr>
          <w:w w:val="105"/>
        </w:rPr>
        <w:t>improvement</w:t>
      </w:r>
      <w:r>
        <w:rPr>
          <w:spacing w:val="-3"/>
          <w:w w:val="105"/>
        </w:rPr>
        <w:t> </w:t>
      </w:r>
      <w:r>
        <w:rPr>
          <w:w w:val="105"/>
        </w:rPr>
        <w:t>planning Client</w:t>
      </w:r>
      <w:r>
        <w:rPr>
          <w:spacing w:val="-3"/>
          <w:w w:val="105"/>
        </w:rPr>
        <w:t> </w:t>
      </w:r>
      <w:r>
        <w:rPr>
          <w:w w:val="105"/>
        </w:rPr>
        <w:t>advisement Development</w:t>
      </w:r>
      <w:r>
        <w:rPr>
          <w:spacing w:val="-3"/>
          <w:w w:val="105"/>
        </w:rPr>
        <w:t> </w:t>
      </w:r>
      <w:r>
        <w:rPr>
          <w:w w:val="105"/>
        </w:rPr>
        <w:t>feasibility Market trend forecasting Mixed-use</w:t>
      </w:r>
      <w:r>
        <w:rPr>
          <w:spacing w:val="-3"/>
          <w:w w:val="105"/>
        </w:rPr>
        <w:t> </w:t>
      </w:r>
      <w:r>
        <w:rPr>
          <w:w w:val="105"/>
        </w:rPr>
        <w:t>zoning</w:t>
      </w:r>
    </w:p>
    <w:p>
      <w:pPr>
        <w:pStyle w:val="BodyText"/>
        <w:spacing w:line="379" w:lineRule="auto" w:before="5"/>
        <w:ind w:left="678" w:right="255"/>
      </w:pPr>
      <w:r>
        <w:rPr>
          <w:spacing w:val="-2"/>
          <w:w w:val="105"/>
        </w:rPr>
        <w:t>Portfolio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evaluation </w:t>
      </w:r>
      <w:r>
        <w:rPr>
          <w:w w:val="105"/>
        </w:rPr>
        <w:t>Strategic</w:t>
      </w:r>
      <w:r>
        <w:rPr>
          <w:spacing w:val="-3"/>
          <w:w w:val="105"/>
        </w:rPr>
        <w:t> </w:t>
      </w:r>
      <w:r>
        <w:rPr>
          <w:w w:val="105"/>
        </w:rPr>
        <w:t>planning</w:t>
      </w:r>
    </w:p>
    <w:p>
      <w:pPr>
        <w:pStyle w:val="BodyText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78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25A6FF"/>
          <w:w w:val="130"/>
          <w:sz w:val="16"/>
        </w:rPr>
        <w:t>Professional</w:t>
      </w:r>
      <w:r>
        <w:rPr>
          <w:rFonts w:ascii="Calibri"/>
          <w:b/>
          <w:smallCaps/>
          <w:color w:val="25A6FF"/>
          <w:spacing w:val="15"/>
          <w:w w:val="130"/>
          <w:sz w:val="16"/>
        </w:rPr>
        <w:t> </w:t>
      </w:r>
      <w:r>
        <w:rPr>
          <w:rFonts w:ascii="Calibri"/>
          <w:b/>
          <w:smallCaps/>
          <w:color w:val="25A6FF"/>
          <w:spacing w:val="-2"/>
          <w:w w:val="130"/>
          <w:sz w:val="16"/>
        </w:rPr>
        <w:t>Experience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Senior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Real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Estate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Consultant</w:t>
      </w:r>
      <w:r>
        <w:rPr>
          <w:b/>
          <w:spacing w:val="1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May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2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>
          <w:w w:val="105"/>
        </w:rPr>
        <w:t>UrbanEdge Advisory,</w:t>
      </w:r>
      <w:r>
        <w:rPr>
          <w:spacing w:val="8"/>
          <w:w w:val="105"/>
        </w:rPr>
        <w:t> </w:t>
      </w:r>
      <w:r>
        <w:rPr>
          <w:w w:val="105"/>
        </w:rPr>
        <w:t>Chicago,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1050"/>
      </w:pPr>
      <w:r>
        <w:rPr>
          <w:spacing w:val="-2"/>
          <w:w w:val="110"/>
        </w:rPr>
        <w:t>Led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property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acquisition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plans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$50M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mixed-use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developments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in </w:t>
      </w:r>
      <w:r>
        <w:rPr>
          <w:w w:val="110"/>
        </w:rPr>
        <w:t>downtown</w:t>
      </w:r>
      <w:r>
        <w:rPr>
          <w:spacing w:val="-6"/>
          <w:w w:val="110"/>
        </w:rPr>
        <w:t> </w:t>
      </w:r>
      <w:r>
        <w:rPr>
          <w:w w:val="110"/>
        </w:rPr>
        <w:t>Chicago</w:t>
      </w:r>
    </w:p>
    <w:p>
      <w:pPr>
        <w:pStyle w:val="BodyText"/>
        <w:spacing w:line="276" w:lineRule="auto" w:before="104"/>
        <w:ind w:left="1050" w:right="341"/>
      </w:pPr>
      <w:r>
        <w:rPr>
          <w:w w:val="105"/>
        </w:rPr>
        <w:t>Advised on commercial</w:t>
      </w:r>
      <w:r>
        <w:rPr>
          <w:spacing w:val="-4"/>
          <w:w w:val="105"/>
        </w:rPr>
        <w:t> </w:t>
      </w:r>
      <w:r>
        <w:rPr>
          <w:w w:val="105"/>
        </w:rPr>
        <w:t>lease restructuring strategies that improved NOI by 22%</w:t>
      </w:r>
    </w:p>
    <w:p>
      <w:pPr>
        <w:pStyle w:val="BodyText"/>
        <w:spacing w:before="74"/>
        <w:ind w:left="1050"/>
      </w:pPr>
      <w:r>
        <w:rPr>
          <w:w w:val="105"/>
        </w:rPr>
        <w:t>Provided</w:t>
      </w:r>
      <w:r>
        <w:rPr>
          <w:spacing w:val="1"/>
          <w:w w:val="105"/>
        </w:rPr>
        <w:t> </w:t>
      </w:r>
      <w:r>
        <w:rPr>
          <w:w w:val="105"/>
        </w:rPr>
        <w:t>market</w:t>
      </w:r>
      <w:r>
        <w:rPr>
          <w:spacing w:val="2"/>
          <w:w w:val="105"/>
        </w:rPr>
        <w:t> </w:t>
      </w:r>
      <w:r>
        <w:rPr>
          <w:w w:val="105"/>
        </w:rPr>
        <w:t>analyses</w:t>
      </w:r>
      <w:r>
        <w:rPr>
          <w:spacing w:val="2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hedge</w:t>
      </w:r>
      <w:r>
        <w:rPr>
          <w:spacing w:val="2"/>
          <w:w w:val="105"/>
        </w:rPr>
        <w:t> </w:t>
      </w:r>
      <w:r>
        <w:rPr>
          <w:w w:val="105"/>
        </w:rPr>
        <w:t>fund</w:t>
      </w:r>
      <w:r>
        <w:rPr>
          <w:spacing w:val="1"/>
          <w:w w:val="105"/>
        </w:rPr>
        <w:t> </w:t>
      </w:r>
      <w:r>
        <w:rPr>
          <w:w w:val="105"/>
        </w:rPr>
        <w:t>property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investments</w:t>
      </w:r>
    </w:p>
    <w:p>
      <w:pPr>
        <w:pStyle w:val="BodyText"/>
        <w:spacing w:before="32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Real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Estate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Analyst</w:t>
      </w:r>
      <w:r>
        <w:rPr>
          <w:b/>
          <w:spacing w:val="1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4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2013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-5"/>
          <w:sz w:val="18"/>
        </w:rPr>
        <w:t> </w:t>
      </w:r>
      <w:r>
        <w:rPr>
          <w:b/>
          <w:spacing w:val="-4"/>
          <w:sz w:val="18"/>
        </w:rPr>
        <w:t>2018</w:t>
      </w:r>
    </w:p>
    <w:p>
      <w:pPr>
        <w:pStyle w:val="BodyText"/>
        <w:spacing w:before="16"/>
        <w:ind w:left="362"/>
      </w:pPr>
      <w:r>
        <w:rPr>
          <w:w w:val="105"/>
        </w:rPr>
        <w:t>Legacy</w:t>
      </w:r>
      <w:r>
        <w:rPr>
          <w:spacing w:val="-4"/>
          <w:w w:val="105"/>
        </w:rPr>
        <w:t> </w:t>
      </w:r>
      <w:r>
        <w:rPr>
          <w:w w:val="105"/>
        </w:rPr>
        <w:t>Group,</w:t>
      </w:r>
      <w:r>
        <w:rPr>
          <w:spacing w:val="4"/>
          <w:w w:val="105"/>
        </w:rPr>
        <w:t> </w:t>
      </w:r>
      <w:r>
        <w:rPr>
          <w:w w:val="105"/>
        </w:rPr>
        <w:t>Chicago,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17"/>
      </w:pPr>
    </w:p>
    <w:p>
      <w:pPr>
        <w:pStyle w:val="BodyText"/>
        <w:ind w:left="1050"/>
      </w:pPr>
      <w:r>
        <w:rPr>
          <w:w w:val="105"/>
        </w:rPr>
        <w:t>Performed due diligence and ROI modeling</w:t>
      </w:r>
      <w:r>
        <w:rPr>
          <w:spacing w:val="1"/>
          <w:w w:val="105"/>
        </w:rPr>
        <w:t> </w:t>
      </w:r>
      <w:r>
        <w:rPr>
          <w:w w:val="105"/>
        </w:rPr>
        <w:t>for</w:t>
      </w:r>
      <w:r>
        <w:rPr>
          <w:spacing w:val="-6"/>
          <w:w w:val="105"/>
        </w:rPr>
        <w:t> </w:t>
      </w:r>
      <w:r>
        <w:rPr>
          <w:w w:val="105"/>
        </w:rPr>
        <w:t>industrial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properties</w:t>
      </w:r>
    </w:p>
    <w:p>
      <w:pPr>
        <w:pStyle w:val="BodyText"/>
        <w:spacing w:line="276" w:lineRule="auto" w:before="121"/>
        <w:ind w:left="1050" w:right="1099"/>
      </w:pPr>
      <w:r>
        <w:rPr/>
        <w:t>Supported senior consultants with zoning review and building</w:t>
      </w:r>
      <w:r>
        <w:rPr>
          <w:spacing w:val="80"/>
          <w:w w:val="110"/>
        </w:rPr>
        <w:t> </w:t>
      </w:r>
      <w:r>
        <w:rPr>
          <w:w w:val="110"/>
        </w:rPr>
        <w:t>repurposing</w:t>
      </w:r>
      <w:r>
        <w:rPr>
          <w:spacing w:val="-6"/>
          <w:w w:val="110"/>
        </w:rPr>
        <w:t> </w:t>
      </w:r>
      <w:r>
        <w:rPr>
          <w:w w:val="110"/>
        </w:rPr>
        <w:t>plans</w:t>
      </w:r>
    </w:p>
    <w:p>
      <w:pPr>
        <w:pStyle w:val="BodyText"/>
        <w:spacing w:before="75"/>
        <w:ind w:left="1050"/>
      </w:pPr>
      <w:r>
        <w:rPr>
          <w:w w:val="105"/>
        </w:rPr>
        <w:t>Collaborated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feasibility</w:t>
      </w:r>
      <w:r>
        <w:rPr>
          <w:spacing w:val="-12"/>
          <w:w w:val="105"/>
        </w:rPr>
        <w:t> </w:t>
      </w:r>
      <w:r>
        <w:rPr>
          <w:w w:val="105"/>
        </w:rPr>
        <w:t>studies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cost-benefit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analyses</w:t>
      </w:r>
    </w:p>
    <w:p>
      <w:pPr>
        <w:pStyle w:val="BodyText"/>
        <w:spacing w:before="33"/>
      </w:pPr>
    </w:p>
    <w:p>
      <w:pPr>
        <w:spacing w:before="0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25A6FF"/>
          <w:spacing w:val="-2"/>
          <w:w w:val="130"/>
          <w:sz w:val="16"/>
        </w:rPr>
        <w:t>Certifications</w:t>
      </w:r>
    </w:p>
    <w:p>
      <w:pPr>
        <w:pStyle w:val="BodyText"/>
        <w:spacing w:before="64"/>
        <w:rPr>
          <w:rFonts w:ascii="Calibri"/>
          <w:b/>
          <w:sz w:val="13"/>
        </w:rPr>
      </w:pPr>
    </w:p>
    <w:p>
      <w:pPr>
        <w:pStyle w:val="BodyText"/>
        <w:spacing w:before="1"/>
        <w:ind w:left="659"/>
      </w:pPr>
      <w:r>
        <w:rPr>
          <w:spacing w:val="-2"/>
          <w:w w:val="105"/>
        </w:rPr>
        <w:t>Licensed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Broker,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Illinois,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July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after="0"/>
        <w:sectPr>
          <w:type w:val="continuous"/>
          <w:pgSz w:w="11920" w:h="16860"/>
          <w:pgMar w:top="920" w:bottom="280" w:left="141" w:right="283"/>
          <w:cols w:num="2" w:equalWidth="0">
            <w:col w:w="3303" w:space="771"/>
            <w:col w:w="7422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581274"/>
                            <a:ext cx="6981825" cy="3581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581400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6981825" h="3581400">
                                <a:moveTo>
                                  <a:pt x="47625" y="3344697"/>
                                </a:moveTo>
                                <a:lnTo>
                                  <a:pt x="27165" y="3324225"/>
                                </a:lnTo>
                                <a:lnTo>
                                  <a:pt x="20472" y="3324225"/>
                                </a:lnTo>
                                <a:lnTo>
                                  <a:pt x="0" y="3344697"/>
                                </a:lnTo>
                                <a:lnTo>
                                  <a:pt x="0" y="3348266"/>
                                </a:lnTo>
                                <a:lnTo>
                                  <a:pt x="0" y="3351390"/>
                                </a:lnTo>
                                <a:lnTo>
                                  <a:pt x="20472" y="3371850"/>
                                </a:lnTo>
                                <a:lnTo>
                                  <a:pt x="27165" y="3371850"/>
                                </a:lnTo>
                                <a:lnTo>
                                  <a:pt x="47625" y="3351390"/>
                                </a:lnTo>
                                <a:lnTo>
                                  <a:pt x="47625" y="3344697"/>
                                </a:lnTo>
                                <a:close/>
                              </a:path>
                              <a:path w="6981825" h="35814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6981825" h="3581400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6981825" h="3581400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6981825" h="3581400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6981825" h="358140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6981825" h="35814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6981825" h="3581400">
                                <a:moveTo>
                                  <a:pt x="2867025" y="2963697"/>
                                </a:moveTo>
                                <a:lnTo>
                                  <a:pt x="2846565" y="2943225"/>
                                </a:lnTo>
                                <a:lnTo>
                                  <a:pt x="2839872" y="2943225"/>
                                </a:lnTo>
                                <a:lnTo>
                                  <a:pt x="2819400" y="2963697"/>
                                </a:lnTo>
                                <a:lnTo>
                                  <a:pt x="2819400" y="2967266"/>
                                </a:lnTo>
                                <a:lnTo>
                                  <a:pt x="2819400" y="2970390"/>
                                </a:lnTo>
                                <a:lnTo>
                                  <a:pt x="2839872" y="2990850"/>
                                </a:lnTo>
                                <a:lnTo>
                                  <a:pt x="2846565" y="2990850"/>
                                </a:lnTo>
                                <a:lnTo>
                                  <a:pt x="2867025" y="2970390"/>
                                </a:lnTo>
                                <a:lnTo>
                                  <a:pt x="2867025" y="2963697"/>
                                </a:lnTo>
                                <a:close/>
                              </a:path>
                              <a:path w="6981825" h="3581400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581400">
                                <a:moveTo>
                                  <a:pt x="2867025" y="2401722"/>
                                </a:moveTo>
                                <a:lnTo>
                                  <a:pt x="2846565" y="2381250"/>
                                </a:lnTo>
                                <a:lnTo>
                                  <a:pt x="2839872" y="2381250"/>
                                </a:lnTo>
                                <a:lnTo>
                                  <a:pt x="2819400" y="2401722"/>
                                </a:lnTo>
                                <a:lnTo>
                                  <a:pt x="2819400" y="2405291"/>
                                </a:lnTo>
                                <a:lnTo>
                                  <a:pt x="2819400" y="2408415"/>
                                </a:lnTo>
                                <a:lnTo>
                                  <a:pt x="2839872" y="2428875"/>
                                </a:lnTo>
                                <a:lnTo>
                                  <a:pt x="2846565" y="2428875"/>
                                </a:lnTo>
                                <a:lnTo>
                                  <a:pt x="2867025" y="2408415"/>
                                </a:lnTo>
                                <a:lnTo>
                                  <a:pt x="2867025" y="2401722"/>
                                </a:lnTo>
                                <a:close/>
                              </a:path>
                              <a:path w="6981825" h="3581400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3581400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3581400">
                                <a:moveTo>
                                  <a:pt x="2867025" y="988085"/>
                                </a:moveTo>
                                <a:lnTo>
                                  <a:pt x="2850502" y="971550"/>
                                </a:lnTo>
                                <a:lnTo>
                                  <a:pt x="2835935" y="971550"/>
                                </a:lnTo>
                                <a:lnTo>
                                  <a:pt x="2819400" y="988085"/>
                                </a:lnTo>
                                <a:lnTo>
                                  <a:pt x="2819400" y="990600"/>
                                </a:lnTo>
                                <a:lnTo>
                                  <a:pt x="2819400" y="993127"/>
                                </a:lnTo>
                                <a:lnTo>
                                  <a:pt x="2835935" y="1009650"/>
                                </a:lnTo>
                                <a:lnTo>
                                  <a:pt x="2850502" y="1009650"/>
                                </a:lnTo>
                                <a:lnTo>
                                  <a:pt x="2867025" y="993127"/>
                                </a:lnTo>
                                <a:lnTo>
                                  <a:pt x="2867025" y="988085"/>
                                </a:lnTo>
                                <a:close/>
                              </a:path>
                              <a:path w="6981825" h="35814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24" y="60769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4" y="47624"/>
                                </a:moveTo>
                                <a:lnTo>
                                  <a:pt x="20461" y="47624"/>
                                </a:lnTo>
                                <a:lnTo>
                                  <a:pt x="17452" y="47026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4" y="0"/>
                                </a:lnTo>
                                <a:lnTo>
                                  <a:pt x="47625" y="20460"/>
                                </a:lnTo>
                                <a:lnTo>
                                  <a:pt x="47625" y="27163"/>
                                </a:lnTo>
                                <a:lnTo>
                                  <a:pt x="30173" y="47026"/>
                                </a:lnTo>
                                <a:lnTo>
                                  <a:pt x="27164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523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5a6f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4065;width:10995;height:5640" id="docshape10" coordorigin="525,4065" coordsize="10995,5640" path="m600,9662l599,9657,595,9648,593,9644,586,9637,582,9635,573,9631,568,9630,557,9630,552,9631,543,9635,539,9637,532,9644,530,9648,526,9657,525,9662,525,9668,525,9673,526,9678,530,9687,532,9691,539,9698,543,9700,552,9704,557,9705,568,9705,573,9704,582,9700,586,9698,593,9691,595,9687,599,9678,600,9673,600,9662xm600,9332l599,9327,595,9318,593,9314,586,9307,582,9305,573,9301,568,9300,557,9300,552,9301,543,9305,539,9307,532,9314,530,9318,526,9327,525,9332,525,9338,525,9343,526,9348,530,9357,532,9361,539,9368,543,9370,552,9374,557,9375,568,9375,573,9374,582,9370,586,9368,593,9361,595,9357,599,9348,600,9343,600,9332x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5040,8732l5039,8727,5035,8718,5033,8714,5026,8707,5022,8705,5013,8701,5008,8700,4997,8700,4992,8701,4983,8705,4979,8707,4972,8714,4970,8718,4966,8727,4965,8732,4965,8738,4965,8743,4966,8748,4970,8757,4972,8761,4979,8768,4983,8770,4992,8774,4997,8775,5008,8775,5013,8774,5022,8770,5026,8768,5033,8761,5035,8757,5039,8748,5040,8743,5040,8732xm5040,8177l5039,8172,5035,8163,5033,8159,5026,8152,5022,8150,5013,8146,5008,8145,4997,8145,4992,8146,4983,8150,4979,8152,4972,8159,4970,8163,4966,8172,4965,8177,4965,8183,4965,8188,4966,8193,4970,8202,4972,8206,4979,8213,4983,8215,4992,8219,4997,8220,5008,8220,5013,8219,5022,8215,5026,8213,5033,8206,5035,8202,5039,8193,5040,8188,5040,8177xm5040,7847l5039,7842,5035,7833,5033,7829,5026,7822,5022,7820,5013,7816,5008,7815,4997,7815,4992,7816,4983,7820,4979,7822,4972,7829,4970,7833,4966,7842,4965,7847,4965,7853,4965,7858,4966,7863,4970,7872,4972,7876,4979,7883,4983,7885,4992,7889,4997,7890,5008,7890,5013,7889,5022,7885,5026,7883,5033,7876,5035,7872,5039,7863,5040,7858,5040,7847xm5040,6737l5039,6732,5035,6723,5033,6719,5026,6712,5022,6710,5013,6706,5008,6705,4997,6705,4992,6706,4983,6710,4979,6712,4972,6719,4970,6723,4966,6732,4965,6737,4965,6743,4965,6748,4966,6753,4970,6762,4972,6766,4979,6773,4983,6775,4992,6779,4997,6780,5008,6780,5013,6779,5022,6775,5026,6773,5033,6766,5035,6762,5039,6753,5040,6748,5040,6737xm5040,6182l5039,6177,5035,6168,5033,6164,5026,6157,5022,6155,5013,6151,5008,6150,4997,6150,4992,6151,4983,6155,4979,6157,4972,6164,4970,6168,4966,6177,4965,6182,4965,6188,4965,6193,4966,6198,4970,6207,4972,6211,4979,6218,4983,6220,4992,6224,4997,6225,5008,6225,5013,6224,5022,6220,5026,6218,5033,6211,5035,6207,5039,6198,5040,6193,5040,6182xm5040,5621l5039,5617,5036,5610,5034,5607,5028,5601,5025,5599,5018,5596,5014,5595,4991,5595,4987,5596,4980,5599,4977,5601,4971,5607,4969,5610,4966,5617,4965,5621,4965,5625,4965,5629,4966,5633,4969,5640,4971,5643,4977,5649,4980,5651,4987,5654,4991,5655,5014,5655,5018,5654,5025,5651,5028,5649,5034,5643,5036,5640,5039,5633,5040,5629,5040,5621xm11520,4065l4095,4065,4095,4080,11520,4080,11520,4065xe" filled="true" fillcolor="#25a6ff" stroked="false">
                  <v:path arrowok="t"/>
                  <v:fill type="solid"/>
                </v:shape>
                <v:shape style="position:absolute;left:4575;top:9570;width:75;height:75" id="docshape11" coordorigin="4575,9570" coordsize="75,75" path="m4618,9645l4607,9645,4602,9644,4575,9613,4575,9608,4575,9602,4607,9570,4618,9570,4650,9602,4650,9613,4623,9644,4618,964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9"/>
        <w:rPr>
          <w:sz w:val="13"/>
        </w:rPr>
      </w:pPr>
    </w:p>
    <w:p>
      <w:pPr>
        <w:spacing w:before="1"/>
        <w:ind w:left="101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smallCaps/>
          <w:color w:val="25A6FF"/>
          <w:spacing w:val="-2"/>
          <w:w w:val="130"/>
          <w:sz w:val="16"/>
        </w:rPr>
        <w:t>Education</w:t>
      </w:r>
    </w:p>
    <w:p>
      <w:pPr>
        <w:pStyle w:val="BodyText"/>
        <w:spacing w:before="109"/>
        <w:rPr>
          <w:rFonts w:ascii="Calibri"/>
          <w:b/>
          <w:sz w:val="13"/>
        </w:rPr>
      </w:pPr>
    </w:p>
    <w:p>
      <w:pPr>
        <w:pStyle w:val="BodyText"/>
        <w:spacing w:line="276" w:lineRule="auto"/>
        <w:ind w:left="380" w:right="7791"/>
      </w:pPr>
      <w:r>
        <w:rPr>
          <w:w w:val="105"/>
        </w:rPr>
        <w:t>Bachelor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Science in Finance University of Illinois Urbana-Champaign May 2013</w:t>
      </w:r>
    </w:p>
    <w:sectPr>
      <w:type w:val="continuous"/>
      <w:pgSz w:w="11920" w:h="16860"/>
      <w:pgMar w:top="9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2026-02-15T13:01:49Z</dcterms:created>
  <dcterms:modified xsi:type="dcterms:W3CDTF">2026-02-15T13:01:49Z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