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448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Blake</w:t>
      </w:r>
      <w:r>
        <w:rPr>
          <w:rFonts w:ascii="Calibri"/>
          <w:b/>
          <w:color w:val="FFFFFF"/>
          <w:spacing w:val="-17"/>
          <w:w w:val="125"/>
          <w:sz w:val="70"/>
        </w:rPr>
        <w:t>  </w:t>
      </w:r>
      <w:r>
        <w:rPr>
          <w:rFonts w:ascii="Calibri"/>
          <w:color w:val="FFFFFF"/>
          <w:spacing w:val="9"/>
          <w:w w:val="125"/>
          <w:sz w:val="70"/>
        </w:rPr>
        <w:t>Allen</w:t>
      </w:r>
    </w:p>
    <w:p>
      <w:pPr>
        <w:pStyle w:val="Heading2"/>
      </w:pPr>
      <w:r>
        <w:rPr>
          <w:color w:val="FFFFFF"/>
          <w:w w:val="130"/>
        </w:rPr>
        <w:t>Urology</w:t>
      </w:r>
      <w:r>
        <w:rPr>
          <w:color w:val="FFFFFF"/>
          <w:spacing w:val="3"/>
          <w:w w:val="130"/>
        </w:rPr>
        <w:t> </w:t>
      </w:r>
      <w:r>
        <w:rPr>
          <w:color w:val="FFFFFF"/>
          <w:w w:val="130"/>
        </w:rPr>
        <w:t>Physician</w:t>
      </w:r>
      <w:r>
        <w:rPr>
          <w:color w:val="FFFFFF"/>
          <w:spacing w:val="3"/>
          <w:w w:val="130"/>
        </w:rPr>
        <w:t> </w:t>
      </w:r>
      <w:r>
        <w:rPr>
          <w:color w:val="FFFFFF"/>
          <w:spacing w:val="-2"/>
          <w:w w:val="130"/>
        </w:rPr>
        <w:t>Assistant</w:t>
      </w:r>
    </w:p>
    <w:p>
      <w:pPr>
        <w:spacing w:line="271" w:lineRule="auto" w:before="162"/>
        <w:ind w:left="448" w:right="538" w:firstLine="0"/>
        <w:jc w:val="left"/>
        <w:rPr>
          <w:sz w:val="16"/>
        </w:rPr>
      </w:pPr>
      <w:r>
        <w:rPr>
          <w:color w:val="FFFFFF"/>
          <w:w w:val="105"/>
          <w:sz w:val="16"/>
        </w:rPr>
        <w:t>Physician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urology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treating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urinary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tract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infections,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kidney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stones,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reproductive health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concerns.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catheterization,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cystoscopy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prep,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outpatient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procedure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support.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Dedicated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dignity, comfort, and proactive disease screening.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425" w:right="283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84"/>
        <w:rPr>
          <w:sz w:val="16"/>
        </w:rPr>
      </w:pPr>
    </w:p>
    <w:p>
      <w:pPr>
        <w:pStyle w:val="Heading1"/>
      </w:pPr>
      <w:r>
        <w:rPr>
          <w:smallCaps/>
          <w:color w:val="F5F5F5"/>
          <w:w w:val="115"/>
        </w:rPr>
        <w:t>Personal</w:t>
      </w:r>
      <w:r>
        <w:rPr>
          <w:smallCaps/>
          <w:color w:val="F5F5F5"/>
          <w:spacing w:val="59"/>
          <w:w w:val="115"/>
        </w:rPr>
        <w:t> </w:t>
      </w:r>
      <w:r>
        <w:rPr>
          <w:smallCaps/>
          <w:color w:val="F5F5F5"/>
          <w:spacing w:val="-2"/>
          <w:w w:val="110"/>
        </w:rPr>
        <w:t>Information</w:t>
      </w:r>
    </w:p>
    <w:p>
      <w:pPr>
        <w:spacing w:before="106"/>
        <w:ind w:left="58" w:right="0" w:firstLine="0"/>
        <w:jc w:val="left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smallCaps/>
          <w:color w:val="8AC2F5"/>
          <w:spacing w:val="2"/>
          <w:w w:val="115"/>
          <w:sz w:val="24"/>
        </w:rPr>
        <w:t>Professional</w:t>
      </w:r>
      <w:r>
        <w:rPr>
          <w:rFonts w:ascii="Calibri"/>
          <w:b/>
          <w:smallCaps/>
          <w:color w:val="8AC2F5"/>
          <w:spacing w:val="46"/>
          <w:w w:val="120"/>
          <w:sz w:val="24"/>
        </w:rPr>
        <w:t> </w:t>
      </w:r>
      <w:r>
        <w:rPr>
          <w:rFonts w:ascii="Calibri"/>
          <w:b/>
          <w:smallCaps/>
          <w:color w:val="8AC2F5"/>
          <w:spacing w:val="-2"/>
          <w:w w:val="120"/>
          <w:sz w:val="24"/>
        </w:rPr>
        <w:t>Experience</w:t>
      </w:r>
    </w:p>
    <w:p>
      <w:pPr>
        <w:pStyle w:val="BodyText"/>
        <w:spacing w:before="49"/>
        <w:rPr>
          <w:rFonts w:ascii="Calibri"/>
          <w:b/>
          <w:sz w:val="16"/>
        </w:rPr>
      </w:pPr>
    </w:p>
    <w:p>
      <w:pPr>
        <w:pStyle w:val="BodyText"/>
        <w:spacing w:line="266" w:lineRule="auto"/>
        <w:ind w:left="170" w:right="831"/>
      </w:pPr>
      <w:r>
        <w:rPr>
          <w:w w:val="105"/>
        </w:rPr>
        <w:t>Physician Assistant </w:t>
      </w:r>
      <w:r>
        <w:rPr>
          <w:w w:val="130"/>
        </w:rPr>
        <w:t>– </w:t>
      </w:r>
      <w:r>
        <w:rPr>
          <w:w w:val="105"/>
        </w:rPr>
        <w:t>Urology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Arizona Urologic Institute </w:t>
      </w:r>
      <w:r>
        <w:rPr>
          <w:w w:val="85"/>
        </w:rPr>
        <w:t>|</w:t>
      </w:r>
      <w:r>
        <w:rPr>
          <w:w w:val="105"/>
        </w:rPr>
        <w:t> Phoenix, AZ June 2019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283"/>
          <w:cols w:num="2" w:equalWidth="0">
            <w:col w:w="2514" w:space="1318"/>
            <w:col w:w="7380"/>
          </w:cols>
        </w:sectPr>
      </w:pPr>
    </w:p>
    <w:p>
      <w:pPr>
        <w:pStyle w:val="BodyText"/>
        <w:spacing w:before="68"/>
        <w:ind w:left="597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before="107"/>
      </w:pPr>
    </w:p>
    <w:p>
      <w:pPr>
        <w:pStyle w:val="BodyText"/>
        <w:ind w:left="597"/>
      </w:pPr>
      <w:hyperlink r:id="rId5">
        <w:r>
          <w:rPr>
            <w:color w:val="424242"/>
            <w:spacing w:val="-2"/>
          </w:rPr>
          <w:t>blake.allen@email.com</w:t>
        </w:r>
      </w:hyperlink>
    </w:p>
    <w:p>
      <w:pPr>
        <w:pStyle w:val="BodyText"/>
        <w:spacing w:line="520" w:lineRule="atLeast" w:before="35"/>
        <w:ind w:left="597"/>
      </w:pPr>
      <w:r>
        <w:rPr>
          <w:color w:val="424242"/>
        </w:rPr>
        <w:t>LinkedIn</w:t>
      </w:r>
      <w:r>
        <w:rPr>
          <w:color w:val="424242"/>
          <w:spacing w:val="-8"/>
        </w:rPr>
        <w:t> </w:t>
      </w:r>
      <w:r>
        <w:rPr>
          <w:color w:val="424242"/>
          <w:w w:val="85"/>
        </w:rPr>
        <w:t>| </w:t>
      </w:r>
      <w:r>
        <w:rPr>
          <w:color w:val="424242"/>
        </w:rPr>
        <w:t>Portfolio Phoenix,</w:t>
      </w:r>
      <w:r>
        <w:rPr>
          <w:color w:val="424242"/>
          <w:spacing w:val="12"/>
        </w:rPr>
        <w:t> </w:t>
      </w:r>
      <w:r>
        <w:rPr>
          <w:color w:val="424242"/>
        </w:rPr>
        <w:t>AZ</w:t>
      </w:r>
      <w:r>
        <w:rPr>
          <w:color w:val="424242"/>
          <w:spacing w:val="22"/>
        </w:rPr>
        <w:t> </w:t>
      </w:r>
      <w:r>
        <w:rPr>
          <w:color w:val="424242"/>
          <w:spacing w:val="-2"/>
        </w:rPr>
        <w:t>85016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4" w:lineRule="auto" w:before="75" w:after="0"/>
        <w:ind w:left="895" w:right="43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Evaluate and manage patients with BPH, urinary retention, and bladder dysfunction, supporting 30+ consults weekly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8" w:lineRule="auto" w:before="59" w:after="0"/>
        <w:ind w:left="895" w:right="327" w:hanging="298"/>
        <w:jc w:val="left"/>
        <w:rPr>
          <w:sz w:val="18"/>
        </w:rPr>
      </w:pPr>
      <w:r>
        <w:rPr>
          <w:w w:val="105"/>
          <w:sz w:val="18"/>
        </w:rPr>
        <w:t>Assist with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in-office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procedures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such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cystoscopies,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prostate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biopsies, and catheter replacements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8" w:lineRule="auto" w:before="40" w:after="0"/>
        <w:ind w:left="895" w:right="310" w:hanging="298"/>
        <w:jc w:val="left"/>
        <w:rPr>
          <w:sz w:val="18"/>
        </w:rPr>
      </w:pPr>
      <w:r>
        <w:rPr>
          <w:w w:val="105"/>
          <w:sz w:val="18"/>
        </w:rPr>
        <w:t>Developed a bladder health education initiative that improved follow-up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compliance by 25%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40" w:bottom="280" w:left="425" w:right="283"/>
          <w:cols w:num="2" w:equalWidth="0">
            <w:col w:w="2604" w:space="967"/>
            <w:col w:w="7641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85"/>
        <w:rPr>
          <w:sz w:val="16"/>
        </w:rPr>
      </w:pPr>
    </w:p>
    <w:p>
      <w:pPr>
        <w:pStyle w:val="Heading1"/>
      </w:pPr>
      <w:r>
        <w:rPr>
          <w:smallCaps/>
          <w:color w:val="F5F5F5"/>
          <w:spacing w:val="-2"/>
          <w:w w:val="110"/>
        </w:rPr>
        <w:t>Education</w:t>
      </w:r>
    </w:p>
    <w:p>
      <w:pPr>
        <w:pStyle w:val="BodyText"/>
        <w:spacing w:line="266" w:lineRule="auto" w:before="154"/>
        <w:ind w:left="58" w:right="176"/>
      </w:pPr>
      <w:r>
        <w:rPr/>
        <w:br w:type="column"/>
      </w:r>
      <w:r>
        <w:rPr/>
        <w:t>Physician</w:t>
      </w:r>
      <w:r>
        <w:rPr>
          <w:spacing w:val="34"/>
        </w:rPr>
        <w:t> </w:t>
      </w:r>
      <w:r>
        <w:rPr/>
        <w:t>Assistant</w:t>
      </w:r>
      <w:r>
        <w:rPr>
          <w:spacing w:val="29"/>
          <w:w w:val="130"/>
        </w:rPr>
        <w:t> </w:t>
      </w:r>
      <w:r>
        <w:rPr>
          <w:w w:val="130"/>
        </w:rPr>
        <w:t>–</w:t>
      </w:r>
      <w:r>
        <w:rPr>
          <w:spacing w:val="29"/>
          <w:w w:val="130"/>
        </w:rPr>
        <w:t> </w:t>
      </w:r>
      <w:r>
        <w:rPr/>
        <w:t>Men’s</w:t>
      </w:r>
      <w:r>
        <w:rPr>
          <w:spacing w:val="40"/>
        </w:rPr>
        <w:t> </w:t>
      </w:r>
      <w:r>
        <w:rPr/>
        <w:t>Health</w:t>
      </w:r>
      <w:r>
        <w:rPr>
          <w:spacing w:val="40"/>
        </w:rPr>
        <w:t> </w:t>
      </w:r>
      <w:r>
        <w:rPr/>
        <w:t>Clinic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Desert</w:t>
      </w:r>
      <w:r>
        <w:rPr>
          <w:spacing w:val="34"/>
        </w:rPr>
        <w:t> </w:t>
      </w:r>
      <w:r>
        <w:rPr/>
        <w:t>View</w:t>
      </w:r>
      <w:r>
        <w:rPr>
          <w:spacing w:val="36"/>
        </w:rPr>
        <w:t> </w:t>
      </w:r>
      <w:r>
        <w:rPr/>
        <w:t>Specialty</w:t>
      </w:r>
      <w:r>
        <w:rPr>
          <w:spacing w:val="36"/>
        </w:rPr>
        <w:t> </w:t>
      </w:r>
      <w:r>
        <w:rPr/>
        <w:t>Group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Mesa, </w:t>
      </w:r>
      <w:r>
        <w:rPr>
          <w:spacing w:val="-6"/>
        </w:rPr>
        <w:t>AZ</w:t>
      </w:r>
    </w:p>
    <w:p>
      <w:pPr>
        <w:pStyle w:val="BodyText"/>
        <w:spacing w:line="202" w:lineRule="exact"/>
        <w:ind w:left="58"/>
      </w:pPr>
      <w:r>
        <w:rPr>
          <w:w w:val="115"/>
        </w:rPr>
        <w:t>August</w:t>
      </w:r>
      <w:r>
        <w:rPr>
          <w:spacing w:val="-7"/>
          <w:w w:val="115"/>
        </w:rPr>
        <w:t> </w:t>
      </w:r>
      <w:r>
        <w:rPr>
          <w:w w:val="115"/>
        </w:rPr>
        <w:t>2017</w:t>
      </w:r>
      <w:r>
        <w:rPr>
          <w:spacing w:val="-6"/>
          <w:w w:val="115"/>
        </w:rPr>
        <w:t> </w:t>
      </w:r>
      <w:r>
        <w:rPr>
          <w:w w:val="115"/>
        </w:rPr>
        <w:t>–</w:t>
      </w:r>
      <w:r>
        <w:rPr>
          <w:spacing w:val="-7"/>
          <w:w w:val="115"/>
        </w:rPr>
        <w:t> </w:t>
      </w:r>
      <w:r>
        <w:rPr>
          <w:w w:val="115"/>
        </w:rPr>
        <w:t>May</w:t>
      </w:r>
      <w:r>
        <w:rPr>
          <w:spacing w:val="-12"/>
          <w:w w:val="115"/>
        </w:rPr>
        <w:t> </w:t>
      </w:r>
      <w:r>
        <w:rPr>
          <w:spacing w:val="-4"/>
          <w:w w:val="115"/>
        </w:rPr>
        <w:t>2019</w:t>
      </w:r>
    </w:p>
    <w:p>
      <w:pPr>
        <w:pStyle w:val="BodyText"/>
        <w:spacing w:after="0" w:line="202" w:lineRule="exact"/>
        <w:sectPr>
          <w:type w:val="continuous"/>
          <w:pgSz w:w="11920" w:h="16860"/>
          <w:pgMar w:top="740" w:bottom="280" w:left="425" w:right="283"/>
          <w:cols w:num="2" w:equalWidth="0">
            <w:col w:w="1203" w:space="2740"/>
            <w:col w:w="7269"/>
          </w:cols>
        </w:sectPr>
      </w:pPr>
    </w:p>
    <w:p>
      <w:pPr>
        <w:pStyle w:val="BodyText"/>
        <w:spacing w:before="59"/>
        <w:rPr>
          <w:sz w:val="16"/>
        </w:rPr>
      </w:pPr>
    </w:p>
    <w:p>
      <w:pPr>
        <w:spacing w:line="271" w:lineRule="auto" w:before="0"/>
        <w:ind w:left="170" w:right="38" w:firstLine="0"/>
        <w:jc w:val="both"/>
        <w:rPr>
          <w:sz w:val="16"/>
        </w:rPr>
      </w:pPr>
      <w:r>
        <w:rPr>
          <w:color w:val="424242"/>
          <w:w w:val="105"/>
          <w:sz w:val="16"/>
        </w:rPr>
        <w:t>Master of Physician Assistant Studies Midwestern University </w:t>
      </w:r>
      <w:r>
        <w:rPr>
          <w:color w:val="424242"/>
          <w:w w:val="85"/>
          <w:sz w:val="16"/>
        </w:rPr>
        <w:t>| </w:t>
      </w:r>
      <w:r>
        <w:rPr>
          <w:color w:val="424242"/>
          <w:w w:val="105"/>
          <w:sz w:val="16"/>
        </w:rPr>
        <w:t>Glendale, AZ May</w:t>
      </w:r>
      <w:r>
        <w:rPr>
          <w:color w:val="424242"/>
          <w:spacing w:val="-3"/>
          <w:w w:val="105"/>
          <w:sz w:val="16"/>
        </w:rPr>
        <w:t> </w:t>
      </w:r>
      <w:r>
        <w:rPr>
          <w:color w:val="424242"/>
          <w:w w:val="105"/>
          <w:sz w:val="16"/>
        </w:rPr>
        <w:t>2017</w:t>
      </w:r>
    </w:p>
    <w:p>
      <w:pPr>
        <w:pStyle w:val="BodyText"/>
        <w:spacing w:before="85"/>
        <w:rPr>
          <w:sz w:val="16"/>
        </w:rPr>
      </w:pPr>
    </w:p>
    <w:p>
      <w:pPr>
        <w:spacing w:line="271" w:lineRule="auto" w:before="0"/>
        <w:ind w:left="170" w:right="69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Science (B.S.) in Human </w:t>
      </w:r>
      <w:r>
        <w:rPr>
          <w:color w:val="424242"/>
          <w:spacing w:val="-2"/>
          <w:w w:val="105"/>
          <w:sz w:val="16"/>
        </w:rPr>
        <w:t>Biology</w:t>
      </w:r>
    </w:p>
    <w:p>
      <w:pPr>
        <w:spacing w:line="271" w:lineRule="auto" w:before="0"/>
        <w:ind w:left="170" w:right="69" w:firstLine="0"/>
        <w:jc w:val="left"/>
        <w:rPr>
          <w:sz w:val="16"/>
        </w:rPr>
      </w:pPr>
      <w:r>
        <w:rPr>
          <w:color w:val="424242"/>
          <w:sz w:val="16"/>
        </w:rPr>
        <w:t>Arizona State University </w:t>
      </w:r>
      <w:r>
        <w:rPr>
          <w:color w:val="424242"/>
          <w:w w:val="85"/>
          <w:sz w:val="16"/>
        </w:rPr>
        <w:t>| </w:t>
      </w:r>
      <w:r>
        <w:rPr>
          <w:color w:val="424242"/>
          <w:sz w:val="16"/>
        </w:rPr>
        <w:t>Tempe, AZ</w:t>
      </w:r>
      <w:r>
        <w:rPr>
          <w:color w:val="424242"/>
          <w:spacing w:val="40"/>
          <w:sz w:val="16"/>
        </w:rPr>
        <w:t> </w:t>
      </w:r>
      <w:r>
        <w:rPr>
          <w:color w:val="424242"/>
          <w:sz w:val="16"/>
        </w:rPr>
        <w:t>May 2014</w:t>
      </w:r>
    </w:p>
    <w:p>
      <w:pPr>
        <w:pStyle w:val="ListParagraph"/>
        <w:numPr>
          <w:ilvl w:val="0"/>
          <w:numId w:val="1"/>
        </w:numPr>
        <w:tabs>
          <w:tab w:pos="465" w:val="left" w:leader="none"/>
          <w:tab w:pos="467" w:val="left" w:leader="none"/>
        </w:tabs>
        <w:spacing w:line="204" w:lineRule="auto" w:before="114" w:after="0"/>
        <w:ind w:left="467" w:right="46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Provided care for erectile dysfunction, fertility concerns, and hormonal imbalances,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referring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surgical candidates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needed</w:t>
      </w:r>
    </w:p>
    <w:p>
      <w:pPr>
        <w:pStyle w:val="ListParagraph"/>
        <w:numPr>
          <w:ilvl w:val="0"/>
          <w:numId w:val="1"/>
        </w:numPr>
        <w:tabs>
          <w:tab w:pos="465" w:val="left" w:leader="none"/>
          <w:tab w:pos="467" w:val="left" w:leader="none"/>
        </w:tabs>
        <w:spacing w:line="204" w:lineRule="auto" w:before="74" w:after="0"/>
        <w:ind w:left="467" w:right="70" w:hanging="298"/>
        <w:jc w:val="left"/>
        <w:rPr>
          <w:sz w:val="18"/>
        </w:rPr>
      </w:pPr>
      <w:r>
        <w:rPr>
          <w:w w:val="105"/>
          <w:sz w:val="18"/>
        </w:rPr>
        <w:t>Conducted urinalysis, hormone labs, and health screenings as part of initial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patient evaluations</w:t>
      </w:r>
    </w:p>
    <w:p>
      <w:pPr>
        <w:pStyle w:val="ListParagraph"/>
        <w:numPr>
          <w:ilvl w:val="0"/>
          <w:numId w:val="1"/>
        </w:numPr>
        <w:tabs>
          <w:tab w:pos="465" w:val="left" w:leader="none"/>
          <w:tab w:pos="467" w:val="left" w:leader="none"/>
        </w:tabs>
        <w:spacing w:line="218" w:lineRule="auto" w:before="59" w:after="0"/>
        <w:ind w:left="467" w:right="876" w:hanging="298"/>
        <w:jc w:val="left"/>
        <w:rPr>
          <w:sz w:val="18"/>
        </w:rPr>
      </w:pPr>
      <w:r>
        <w:rPr>
          <w:w w:val="105"/>
          <w:sz w:val="18"/>
        </w:rPr>
        <w:t>Created patient handouts and educational videos, boosting online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engagement and clinic attendance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40" w:bottom="280" w:left="425" w:right="283"/>
          <w:cols w:num="2" w:equalWidth="0">
            <w:col w:w="3160" w:space="838"/>
            <w:col w:w="7214"/>
          </w:cols>
        </w:sectPr>
      </w:pPr>
    </w:p>
    <w:p>
      <w:pPr>
        <w:pStyle w:val="Heading1"/>
        <w:spacing w:line="275" w:lineRule="exact"/>
        <w:ind w:left="0" w:right="1858"/>
        <w:jc w:val="center"/>
      </w:pPr>
      <w:r>
        <w:rPr>
          <w:smallCaps/>
          <w:color w:val="8AC2F5"/>
          <w:spacing w:val="-2"/>
          <w:w w:val="115"/>
        </w:rPr>
        <w:t>Certifications</w:t>
      </w:r>
    </w:p>
    <w:p>
      <w:pPr>
        <w:pStyle w:val="Heading1"/>
        <w:spacing w:after="0" w:line="275" w:lineRule="exact"/>
        <w:jc w:val="center"/>
        <w:sectPr>
          <w:type w:val="continuous"/>
          <w:pgSz w:w="11920" w:h="16860"/>
          <w:pgMar w:top="740" w:bottom="280" w:left="425" w:right="283"/>
        </w:sectPr>
      </w:pPr>
    </w:p>
    <w:p>
      <w:pPr>
        <w:spacing w:before="157"/>
        <w:ind w:left="58" w:right="0" w:firstLine="0"/>
        <w:jc w:val="left"/>
        <w:rPr>
          <w:rFonts w:ascii="Calibri"/>
          <w:b/>
          <w:sz w:val="24"/>
        </w:rPr>
      </w:pPr>
      <w:r>
        <w:rPr>
          <w:rFonts w:ascii="Calibri"/>
          <w:b/>
          <w:smallCaps/>
          <w:color w:val="F5F5F5"/>
          <w:w w:val="125"/>
          <w:sz w:val="24"/>
        </w:rPr>
        <w:t>Key</w:t>
      </w:r>
      <w:r>
        <w:rPr>
          <w:rFonts w:ascii="Calibri"/>
          <w:b/>
          <w:smallCaps/>
          <w:color w:val="F5F5F5"/>
          <w:spacing w:val="8"/>
          <w:w w:val="125"/>
          <w:sz w:val="24"/>
        </w:rPr>
        <w:t> </w:t>
      </w:r>
      <w:r>
        <w:rPr>
          <w:rFonts w:ascii="Calibri"/>
          <w:b/>
          <w:smallCaps/>
          <w:color w:val="F5F5F5"/>
          <w:spacing w:val="-2"/>
          <w:w w:val="125"/>
          <w:sz w:val="24"/>
        </w:rPr>
        <w:t>Skills</w:t>
      </w:r>
    </w:p>
    <w:p>
      <w:pPr>
        <w:pStyle w:val="ListParagraph"/>
        <w:numPr>
          <w:ilvl w:val="0"/>
          <w:numId w:val="2"/>
        </w:numPr>
        <w:tabs>
          <w:tab w:pos="353" w:val="left" w:leader="none"/>
          <w:tab w:pos="355" w:val="left" w:leader="none"/>
        </w:tabs>
        <w:spacing w:line="204" w:lineRule="auto" w:before="194" w:after="0"/>
        <w:ind w:left="355" w:right="130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Certified</w:t>
      </w:r>
      <w:r>
        <w:rPr>
          <w:spacing w:val="40"/>
          <w:sz w:val="18"/>
        </w:rPr>
        <w:t> </w:t>
      </w:r>
      <w:r>
        <w:rPr>
          <w:sz w:val="18"/>
        </w:rPr>
        <w:t>Physician</w:t>
      </w:r>
      <w:r>
        <w:rPr>
          <w:spacing w:val="38"/>
          <w:sz w:val="18"/>
        </w:rPr>
        <w:t> </w:t>
      </w:r>
      <w:r>
        <w:rPr>
          <w:sz w:val="18"/>
        </w:rPr>
        <w:t>Assistant</w:t>
      </w:r>
      <w:r>
        <w:rPr>
          <w:spacing w:val="40"/>
          <w:sz w:val="18"/>
        </w:rPr>
        <w:t> </w:t>
      </w:r>
      <w:r>
        <w:rPr>
          <w:sz w:val="18"/>
        </w:rPr>
        <w:t>(PA-C)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National</w:t>
      </w:r>
      <w:r>
        <w:rPr>
          <w:spacing w:val="38"/>
          <w:sz w:val="18"/>
        </w:rPr>
        <w:t> </w:t>
      </w:r>
      <w:r>
        <w:rPr>
          <w:sz w:val="18"/>
        </w:rPr>
        <w:t>Commission</w:t>
      </w:r>
      <w:r>
        <w:rPr>
          <w:spacing w:val="40"/>
          <w:sz w:val="18"/>
        </w:rPr>
        <w:t> </w:t>
      </w:r>
      <w:r>
        <w:rPr>
          <w:sz w:val="18"/>
        </w:rPr>
        <w:t>on</w:t>
      </w:r>
      <w:r>
        <w:rPr>
          <w:spacing w:val="40"/>
          <w:sz w:val="18"/>
        </w:rPr>
        <w:t> </w:t>
      </w:r>
      <w:r>
        <w:rPr>
          <w:sz w:val="18"/>
        </w:rPr>
        <w:t>Certification</w:t>
      </w:r>
      <w:r>
        <w:rPr>
          <w:spacing w:val="40"/>
          <w:sz w:val="18"/>
        </w:rPr>
        <w:t> </w:t>
      </w:r>
      <w:r>
        <w:rPr>
          <w:sz w:val="18"/>
        </w:rPr>
        <w:t>of Physician</w:t>
      </w:r>
      <w:r>
        <w:rPr>
          <w:spacing w:val="33"/>
          <w:sz w:val="18"/>
        </w:rPr>
        <w:t> </w:t>
      </w:r>
      <w:r>
        <w:rPr>
          <w:sz w:val="18"/>
        </w:rPr>
        <w:t>Assistants</w:t>
      </w:r>
      <w:r>
        <w:rPr>
          <w:spacing w:val="40"/>
          <w:sz w:val="18"/>
        </w:rPr>
        <w:t> </w:t>
      </w:r>
      <w:r>
        <w:rPr>
          <w:sz w:val="18"/>
        </w:rPr>
        <w:t>(NCCPA)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2017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740" w:bottom="280" w:left="425" w:right="283"/>
          <w:cols w:num="2" w:equalWidth="0">
            <w:col w:w="1191" w:space="2752"/>
            <w:col w:w="7269"/>
          </w:cols>
        </w:sectPr>
      </w:pPr>
    </w:p>
    <w:p>
      <w:pPr>
        <w:pStyle w:val="ListParagraph"/>
        <w:numPr>
          <w:ilvl w:val="1"/>
          <w:numId w:val="2"/>
        </w:numPr>
        <w:tabs>
          <w:tab w:pos="466" w:val="left" w:leader="none"/>
        </w:tabs>
        <w:spacing w:line="331" w:lineRule="exact" w:before="5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rFonts w:ascii="Arial" w:hAnsi="Arial"/>
          <w:position w:val="-5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305799"/>
                            <a:ext cx="2266950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400300">
                                <a:moveTo>
                                  <a:pt x="0" y="2400299"/>
                                </a:moveTo>
                                <a:lnTo>
                                  <a:pt x="2266949" y="240029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362199"/>
                            <a:ext cx="2266950" cy="594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943600">
                                <a:moveTo>
                                  <a:pt x="2266950" y="4352925"/>
                                </a:moveTo>
                                <a:lnTo>
                                  <a:pt x="0" y="4352925"/>
                                </a:lnTo>
                                <a:lnTo>
                                  <a:pt x="0" y="5943600"/>
                                </a:lnTo>
                                <a:lnTo>
                                  <a:pt x="2266950" y="5943600"/>
                                </a:lnTo>
                                <a:lnTo>
                                  <a:pt x="2266950" y="4352925"/>
                                </a:lnTo>
                                <a:close/>
                              </a:path>
                              <a:path w="2266950" h="5943600">
                                <a:moveTo>
                                  <a:pt x="2266950" y="2581275"/>
                                </a:moveTo>
                                <a:lnTo>
                                  <a:pt x="0" y="2581275"/>
                                </a:lnTo>
                                <a:lnTo>
                                  <a:pt x="0" y="4010025"/>
                                </a:lnTo>
                                <a:lnTo>
                                  <a:pt x="2266950" y="4010025"/>
                                </a:lnTo>
                                <a:lnTo>
                                  <a:pt x="2266950" y="2581275"/>
                                </a:lnTo>
                                <a:close/>
                              </a:path>
                              <a:path w="2266950" h="5943600">
                                <a:moveTo>
                                  <a:pt x="2266950" y="742950"/>
                                </a:moveTo>
                                <a:lnTo>
                                  <a:pt x="0" y="742950"/>
                                </a:lnTo>
                                <a:lnTo>
                                  <a:pt x="0" y="2247900"/>
                                </a:lnTo>
                                <a:lnTo>
                                  <a:pt x="2266950" y="2247900"/>
                                </a:lnTo>
                                <a:lnTo>
                                  <a:pt x="2266950" y="742950"/>
                                </a:lnTo>
                                <a:close/>
                              </a:path>
                              <a:path w="2266950" h="594360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4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0998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2289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5528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39245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2481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610099"/>
                            <a:ext cx="25527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33375">
                                <a:moveTo>
                                  <a:pt x="25526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9408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372224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711694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448" id="docshapegroup1" coordorigin="0,0" coordsize="11919,16860">
                <v:rect style="position:absolute;left:255;top:13080;width:3570;height:3780" id="docshape2" filled="true" fillcolor="#8ac2f5" stroked="false">
                  <v:fill opacity="32899f"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shape style="position:absolute;left:254;top:3720;width:3570;height:9360" id="docshape4" coordorigin="255,3720" coordsize="3570,9360" path="m3825,10575l255,10575,255,13080,3825,13080,3825,10575xm3825,7785l255,7785,255,10035,3825,10035,3825,7785xm3825,4890l255,4890,255,7260,3825,7260,3825,4890xm3825,3720l255,3720,255,4350,3825,4350,3825,3720xe" filled="true" fillcolor="#8ac2f5" stroked="false">
                  <v:path arrowok="t"/>
                  <v:fill opacity="32899f" type="solid"/>
                </v:shape>
                <v:rect style="position:absolute;left:0;top:4350;width:4020;height:540" id="docshape5" filled="true" fillcolor="#8ac2f5" stroked="false">
                  <v:fill type="solid"/>
                </v:rect>
                <v:shape style="position:absolute;left:3825;top:4881;width:197;height:404" type="#_x0000_t75" id="docshape6" stroked="false">
                  <v:imagedata r:id="rId6" o:title=""/>
                </v:shape>
                <v:shape style="position:absolute;left:600;top:5085;width:255;height:261" type="#_x0000_t75" id="docshape7" stroked="false">
                  <v:imagedata r:id="rId7" o:title=""/>
                </v:shape>
                <v:shape style="position:absolute;left:600;top:5595;width:255;height:300" type="#_x0000_t75" id="docshape8" stroked="false">
                  <v:imagedata r:id="rId8" o:title=""/>
                </v:shape>
                <v:shape style="position:absolute;left:600;top:6180;width:256;height:226" type="#_x0000_t75" id="docshape9" stroked="false">
                  <v:imagedata r:id="rId9" o:title=""/>
                </v:shape>
                <v:shape style="position:absolute;left:600;top:6690;width:255;height:263" type="#_x0000_t75" id="docshape10" stroked="false">
                  <v:imagedata r:id="rId10" o:title=""/>
                </v:shape>
                <v:rect style="position:absolute;left:0;top:7260;width:4020;height:525" id="docshape11" filled="true" fillcolor="#8ac2f5" stroked="false">
                  <v:fill type="solid"/>
                </v:rect>
                <v:shape style="position:absolute;left:3825;top:7780;width:197;height:399" type="#_x0000_t75" id="docshape12" stroked="false">
                  <v:imagedata r:id="rId11" o:title=""/>
                </v:shape>
                <v:rect style="position:absolute;left:0;top:10035;width:4020;height:540" id="docshape13" filled="true" fillcolor="#8ac2f5" stroked="false">
                  <v:fill type="solid"/>
                </v:rect>
                <v:shape style="position:absolute;left:3825;top:10569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6"/>
        </w:rPr>
        <w:t>Catheter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w w:val="105"/>
          <w:sz w:val="16"/>
        </w:rPr>
        <w:t>insertion</w:t>
      </w:r>
      <w:r>
        <w:rPr>
          <w:color w:val="424242"/>
          <w:spacing w:val="21"/>
          <w:w w:val="105"/>
          <w:sz w:val="16"/>
        </w:rPr>
        <w:t> </w:t>
      </w:r>
      <w:r>
        <w:rPr>
          <w:color w:val="424242"/>
          <w:w w:val="105"/>
          <w:sz w:val="16"/>
        </w:rPr>
        <w:t>and</w:t>
      </w:r>
      <w:r>
        <w:rPr>
          <w:color w:val="424242"/>
          <w:spacing w:val="22"/>
          <w:w w:val="105"/>
          <w:sz w:val="16"/>
        </w:rPr>
        <w:t> </w:t>
      </w:r>
      <w:r>
        <w:rPr>
          <w:color w:val="424242"/>
          <w:spacing w:val="-4"/>
          <w:w w:val="105"/>
          <w:sz w:val="16"/>
        </w:rPr>
        <w:t>care</w:t>
      </w:r>
    </w:p>
    <w:p>
      <w:pPr>
        <w:pStyle w:val="ListParagraph"/>
        <w:numPr>
          <w:ilvl w:val="1"/>
          <w:numId w:val="2"/>
        </w:numPr>
        <w:tabs>
          <w:tab w:pos="466" w:val="left" w:leader="none"/>
        </w:tabs>
        <w:spacing w:line="308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05"/>
          <w:sz w:val="16"/>
        </w:rPr>
        <w:t>Genitourinary</w:t>
      </w:r>
      <w:r>
        <w:rPr>
          <w:color w:val="424242"/>
          <w:spacing w:val="18"/>
          <w:w w:val="105"/>
          <w:sz w:val="16"/>
        </w:rPr>
        <w:t> </w:t>
      </w:r>
      <w:r>
        <w:rPr>
          <w:color w:val="424242"/>
          <w:w w:val="105"/>
          <w:sz w:val="16"/>
        </w:rPr>
        <w:t>health</w:t>
      </w:r>
      <w:r>
        <w:rPr>
          <w:color w:val="424242"/>
          <w:spacing w:val="27"/>
          <w:w w:val="105"/>
          <w:sz w:val="16"/>
        </w:rPr>
        <w:t> </w:t>
      </w:r>
      <w:r>
        <w:rPr>
          <w:color w:val="424242"/>
          <w:spacing w:val="-4"/>
          <w:w w:val="105"/>
          <w:sz w:val="16"/>
        </w:rPr>
        <w:t>exams</w:t>
      </w:r>
    </w:p>
    <w:p>
      <w:pPr>
        <w:pStyle w:val="ListParagraph"/>
        <w:numPr>
          <w:ilvl w:val="1"/>
          <w:numId w:val="2"/>
        </w:numPr>
        <w:tabs>
          <w:tab w:pos="465" w:val="left" w:leader="none"/>
          <w:tab w:pos="467" w:val="left" w:leader="none"/>
        </w:tabs>
        <w:spacing w:line="182" w:lineRule="auto" w:before="32" w:after="0"/>
        <w:ind w:left="467" w:right="767" w:hanging="298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sz w:val="16"/>
        </w:rPr>
        <w:t>Patient education and </w:t>
      </w:r>
      <w:r>
        <w:rPr>
          <w:color w:val="424242"/>
          <w:spacing w:val="-2"/>
          <w:w w:val="110"/>
          <w:sz w:val="16"/>
        </w:rPr>
        <w:t>compliance</w:t>
      </w:r>
    </w:p>
    <w:p>
      <w:pPr>
        <w:pStyle w:val="ListParagraph"/>
        <w:numPr>
          <w:ilvl w:val="1"/>
          <w:numId w:val="2"/>
        </w:numPr>
        <w:tabs>
          <w:tab w:pos="466" w:val="left" w:leader="none"/>
        </w:tabs>
        <w:spacing w:line="328" w:lineRule="exact" w:before="42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Preventive</w:t>
      </w:r>
      <w:r>
        <w:rPr>
          <w:color w:val="424242"/>
          <w:spacing w:val="7"/>
          <w:w w:val="110"/>
          <w:sz w:val="16"/>
        </w:rPr>
        <w:t> </w:t>
      </w:r>
      <w:r>
        <w:rPr>
          <w:color w:val="424242"/>
          <w:w w:val="110"/>
          <w:sz w:val="16"/>
        </w:rPr>
        <w:t>screening</w:t>
      </w:r>
      <w:r>
        <w:rPr>
          <w:color w:val="424242"/>
          <w:spacing w:val="7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protocols</w:t>
      </w:r>
    </w:p>
    <w:p>
      <w:pPr>
        <w:pStyle w:val="ListParagraph"/>
        <w:numPr>
          <w:ilvl w:val="1"/>
          <w:numId w:val="2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spacing w:val="4"/>
          <w:sz w:val="16"/>
        </w:rPr>
        <w:t>Urology</w:t>
      </w:r>
      <w:r>
        <w:rPr>
          <w:color w:val="424242"/>
          <w:spacing w:val="34"/>
          <w:sz w:val="16"/>
        </w:rPr>
        <w:t> </w:t>
      </w:r>
      <w:r>
        <w:rPr>
          <w:color w:val="424242"/>
          <w:spacing w:val="4"/>
          <w:sz w:val="16"/>
        </w:rPr>
        <w:t>outpatient</w:t>
      </w:r>
      <w:r>
        <w:rPr>
          <w:color w:val="424242"/>
          <w:spacing w:val="44"/>
          <w:sz w:val="16"/>
        </w:rPr>
        <w:t> </w:t>
      </w:r>
      <w:r>
        <w:rPr>
          <w:color w:val="424242"/>
          <w:spacing w:val="-2"/>
          <w:sz w:val="16"/>
        </w:rPr>
        <w:t>procedures</w:t>
      </w:r>
    </w:p>
    <w:p>
      <w:pPr>
        <w:pStyle w:val="ListParagraph"/>
        <w:numPr>
          <w:ilvl w:val="1"/>
          <w:numId w:val="2"/>
        </w:numPr>
        <w:tabs>
          <w:tab w:pos="466" w:val="left" w:leader="none"/>
        </w:tabs>
        <w:spacing w:line="240" w:lineRule="auto" w:before="35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Basic</w:t>
      </w:r>
      <w:r>
        <w:rPr>
          <w:spacing w:val="39"/>
          <w:sz w:val="18"/>
        </w:rPr>
        <w:t> </w:t>
      </w:r>
      <w:r>
        <w:rPr>
          <w:sz w:val="18"/>
        </w:rPr>
        <w:t>Life</w:t>
      </w:r>
      <w:r>
        <w:rPr>
          <w:spacing w:val="40"/>
          <w:sz w:val="18"/>
        </w:rPr>
        <w:t> </w:t>
      </w:r>
      <w:r>
        <w:rPr>
          <w:sz w:val="18"/>
        </w:rPr>
        <w:t>Support</w:t>
      </w:r>
      <w:r>
        <w:rPr>
          <w:spacing w:val="39"/>
          <w:sz w:val="18"/>
        </w:rPr>
        <w:t> </w:t>
      </w:r>
      <w:r>
        <w:rPr>
          <w:sz w:val="18"/>
        </w:rPr>
        <w:t>(BLS)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29"/>
          <w:sz w:val="18"/>
        </w:rPr>
        <w:t> </w:t>
      </w:r>
      <w:r>
        <w:rPr>
          <w:sz w:val="18"/>
        </w:rPr>
        <w:t>American</w:t>
      </w:r>
      <w:r>
        <w:rPr>
          <w:spacing w:val="40"/>
          <w:sz w:val="18"/>
        </w:rPr>
        <w:t> </w:t>
      </w:r>
      <w:r>
        <w:rPr>
          <w:sz w:val="18"/>
        </w:rPr>
        <w:t>Heart</w:t>
      </w:r>
      <w:r>
        <w:rPr>
          <w:spacing w:val="29"/>
          <w:sz w:val="18"/>
        </w:rPr>
        <w:t> </w:t>
      </w:r>
      <w:r>
        <w:rPr>
          <w:sz w:val="18"/>
        </w:rPr>
        <w:t>Association</w:t>
      </w:r>
      <w:r>
        <w:rPr>
          <w:spacing w:val="39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pacing w:val="-4"/>
          <w:sz w:val="18"/>
        </w:rPr>
        <w:t>2023</w:t>
      </w:r>
    </w:p>
    <w:sectPr>
      <w:type w:val="continuous"/>
      <w:pgSz w:w="11920" w:h="16860"/>
      <w:pgMar w:top="740" w:bottom="280" w:left="425" w:right="283"/>
      <w:cols w:num="2" w:equalWidth="0">
        <w:col w:w="2993" w:space="838"/>
        <w:col w:w="73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6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3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0"/>
      <w:ind w:left="448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.alle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2026-02-12T16:44:19Z</dcterms:created>
  <dcterms:modified xsi:type="dcterms:W3CDTF">2026-02-12T16:44:19Z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