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235" w:right="33" w:firstLine="0"/>
        <w:jc w:val="center"/>
        <w:rPr>
          <w:rFonts w:ascii="Calibri"/>
          <w:sz w:val="74"/>
        </w:rPr>
      </w:pPr>
      <w:r>
        <w:rPr>
          <w:rFonts w:ascii="Calibri"/>
          <w:b/>
          <w:color w:val="A38182"/>
          <w:spacing w:val="24"/>
          <w:w w:val="125"/>
          <w:sz w:val="74"/>
        </w:rPr>
        <w:t>Kevin</w:t>
      </w:r>
      <w:r>
        <w:rPr>
          <w:rFonts w:ascii="Calibri"/>
          <w:b/>
          <w:color w:val="A38182"/>
          <w:spacing w:val="-32"/>
          <w:w w:val="125"/>
          <w:sz w:val="74"/>
        </w:rPr>
        <w:t>  </w:t>
      </w:r>
      <w:r>
        <w:rPr>
          <w:rFonts w:ascii="Calibri"/>
          <w:color w:val="A38182"/>
          <w:spacing w:val="30"/>
          <w:w w:val="125"/>
          <w:sz w:val="74"/>
        </w:rPr>
        <w:t>Thompson</w:t>
      </w:r>
    </w:p>
    <w:p>
      <w:pPr>
        <w:pStyle w:val="Heading1"/>
        <w:spacing w:before="94"/>
        <w:ind w:left="4235"/>
        <w:jc w:val="center"/>
      </w:pPr>
      <w:r>
        <w:rPr>
          <w:color w:val="A38182"/>
          <w:w w:val="130"/>
        </w:rPr>
        <w:t>CNA</w:t>
      </w:r>
      <w:r>
        <w:rPr>
          <w:color w:val="A38182"/>
          <w:spacing w:val="20"/>
          <w:w w:val="130"/>
        </w:rPr>
        <w:t> </w:t>
      </w:r>
      <w:r>
        <w:rPr>
          <w:color w:val="A38182"/>
          <w:spacing w:val="-2"/>
          <w:w w:val="130"/>
        </w:rPr>
        <w:t>Supervisor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69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743324"/>
                            <a:ext cx="190500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257550">
                                <a:moveTo>
                                  <a:pt x="28575" y="3245396"/>
                                </a:moveTo>
                                <a:lnTo>
                                  <a:pt x="27647" y="3243161"/>
                                </a:lnTo>
                                <a:lnTo>
                                  <a:pt x="23926" y="3239439"/>
                                </a:lnTo>
                                <a:lnTo>
                                  <a:pt x="21691" y="3238500"/>
                                </a:lnTo>
                                <a:lnTo>
                                  <a:pt x="6896" y="3238500"/>
                                </a:lnTo>
                                <a:lnTo>
                                  <a:pt x="4660" y="3239439"/>
                                </a:lnTo>
                                <a:lnTo>
                                  <a:pt x="939" y="3243161"/>
                                </a:lnTo>
                                <a:lnTo>
                                  <a:pt x="0" y="3245396"/>
                                </a:lnTo>
                                <a:lnTo>
                                  <a:pt x="0" y="3248025"/>
                                </a:lnTo>
                                <a:lnTo>
                                  <a:pt x="0" y="3250666"/>
                                </a:lnTo>
                                <a:lnTo>
                                  <a:pt x="939" y="3252901"/>
                                </a:lnTo>
                                <a:lnTo>
                                  <a:pt x="4660" y="3256623"/>
                                </a:lnTo>
                                <a:lnTo>
                                  <a:pt x="6896" y="3257550"/>
                                </a:lnTo>
                                <a:lnTo>
                                  <a:pt x="21691" y="3257550"/>
                                </a:lnTo>
                                <a:lnTo>
                                  <a:pt x="23926" y="3256623"/>
                                </a:lnTo>
                                <a:lnTo>
                                  <a:pt x="27647" y="3252901"/>
                                </a:lnTo>
                                <a:lnTo>
                                  <a:pt x="28575" y="3250666"/>
                                </a:lnTo>
                                <a:lnTo>
                                  <a:pt x="28575" y="3245396"/>
                                </a:lnTo>
                                <a:close/>
                              </a:path>
                              <a:path w="190500" h="3257550">
                                <a:moveTo>
                                  <a:pt x="28575" y="3026321"/>
                                </a:moveTo>
                                <a:lnTo>
                                  <a:pt x="27647" y="3024086"/>
                                </a:lnTo>
                                <a:lnTo>
                                  <a:pt x="23926" y="3020364"/>
                                </a:lnTo>
                                <a:lnTo>
                                  <a:pt x="21691" y="3019425"/>
                                </a:lnTo>
                                <a:lnTo>
                                  <a:pt x="6896" y="3019425"/>
                                </a:lnTo>
                                <a:lnTo>
                                  <a:pt x="4660" y="3020364"/>
                                </a:lnTo>
                                <a:lnTo>
                                  <a:pt x="939" y="3024086"/>
                                </a:lnTo>
                                <a:lnTo>
                                  <a:pt x="0" y="3026321"/>
                                </a:lnTo>
                                <a:lnTo>
                                  <a:pt x="0" y="3028950"/>
                                </a:lnTo>
                                <a:lnTo>
                                  <a:pt x="0" y="3031591"/>
                                </a:lnTo>
                                <a:lnTo>
                                  <a:pt x="939" y="3033826"/>
                                </a:lnTo>
                                <a:lnTo>
                                  <a:pt x="4660" y="3037548"/>
                                </a:lnTo>
                                <a:lnTo>
                                  <a:pt x="6896" y="3038475"/>
                                </a:lnTo>
                                <a:lnTo>
                                  <a:pt x="21691" y="3038475"/>
                                </a:lnTo>
                                <a:lnTo>
                                  <a:pt x="23926" y="3037548"/>
                                </a:lnTo>
                                <a:lnTo>
                                  <a:pt x="27647" y="3033826"/>
                                </a:lnTo>
                                <a:lnTo>
                                  <a:pt x="28575" y="3031591"/>
                                </a:lnTo>
                                <a:lnTo>
                                  <a:pt x="28575" y="3026321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2311946"/>
                                </a:moveTo>
                                <a:lnTo>
                                  <a:pt x="189572" y="2309711"/>
                                </a:lnTo>
                                <a:lnTo>
                                  <a:pt x="185851" y="2305989"/>
                                </a:lnTo>
                                <a:lnTo>
                                  <a:pt x="183616" y="2305050"/>
                                </a:lnTo>
                                <a:lnTo>
                                  <a:pt x="178346" y="2305050"/>
                                </a:lnTo>
                                <a:lnTo>
                                  <a:pt x="176110" y="2305989"/>
                                </a:lnTo>
                                <a:lnTo>
                                  <a:pt x="172389" y="2309711"/>
                                </a:lnTo>
                                <a:lnTo>
                                  <a:pt x="171450" y="2311946"/>
                                </a:lnTo>
                                <a:lnTo>
                                  <a:pt x="171450" y="2317216"/>
                                </a:lnTo>
                                <a:lnTo>
                                  <a:pt x="172389" y="2319451"/>
                                </a:lnTo>
                                <a:lnTo>
                                  <a:pt x="176110" y="2323173"/>
                                </a:lnTo>
                                <a:lnTo>
                                  <a:pt x="178346" y="2324100"/>
                                </a:lnTo>
                                <a:lnTo>
                                  <a:pt x="183616" y="2324100"/>
                                </a:lnTo>
                                <a:lnTo>
                                  <a:pt x="185851" y="2323173"/>
                                </a:lnTo>
                                <a:lnTo>
                                  <a:pt x="189572" y="2319451"/>
                                </a:lnTo>
                                <a:lnTo>
                                  <a:pt x="190500" y="2317216"/>
                                </a:lnTo>
                                <a:lnTo>
                                  <a:pt x="190500" y="2314575"/>
                                </a:lnTo>
                                <a:lnTo>
                                  <a:pt x="190500" y="2311946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36216"/>
                                </a:lnTo>
                                <a:lnTo>
                                  <a:pt x="172389" y="1938451"/>
                                </a:lnTo>
                                <a:lnTo>
                                  <a:pt x="176110" y="1942172"/>
                                </a:lnTo>
                                <a:lnTo>
                                  <a:pt x="178346" y="1943100"/>
                                </a:lnTo>
                                <a:lnTo>
                                  <a:pt x="183616" y="1943100"/>
                                </a:lnTo>
                                <a:lnTo>
                                  <a:pt x="185851" y="1942172"/>
                                </a:lnTo>
                                <a:lnTo>
                                  <a:pt x="189572" y="1938451"/>
                                </a:lnTo>
                                <a:lnTo>
                                  <a:pt x="190500" y="1936216"/>
                                </a:lnTo>
                                <a:lnTo>
                                  <a:pt x="190500" y="1933575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62100"/>
                                </a:lnTo>
                                <a:lnTo>
                                  <a:pt x="171450" y="1564741"/>
                                </a:lnTo>
                                <a:lnTo>
                                  <a:pt x="172389" y="1566976"/>
                                </a:lnTo>
                                <a:lnTo>
                                  <a:pt x="176110" y="1570697"/>
                                </a:lnTo>
                                <a:lnTo>
                                  <a:pt x="178346" y="1571625"/>
                                </a:lnTo>
                                <a:lnTo>
                                  <a:pt x="183616" y="1571625"/>
                                </a:lnTo>
                                <a:lnTo>
                                  <a:pt x="185851" y="1570697"/>
                                </a:lnTo>
                                <a:lnTo>
                                  <a:pt x="189572" y="1566976"/>
                                </a:lnTo>
                                <a:lnTo>
                                  <a:pt x="190500" y="1564741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2575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a3818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5895;width:300;height:5130" id="docshape16" coordorigin="4740,5895" coordsize="300,5130" path="m4785,11006l4784,11002,4778,10996,4774,10995,4751,10995,4747,10996,4741,11002,4740,11006,4740,11010,4740,11014,4741,11018,4747,11024,4751,11025,4774,11025,4778,11024,4784,11018,4785,11014,4785,11006xm4785,10661l4784,10657,4778,10651,4774,10650,4751,10650,4747,10651,4741,10657,4740,10661,4740,10665,4740,10669,4741,10673,4747,10679,4751,10680,4774,10680,4778,10679,4784,10673,4785,10669,4785,10661xm5040,9536l5039,9532,5033,9526,5029,9525,5021,9525,5017,9526,5011,9532,5010,9536,5010,9544,5011,9548,5017,9554,5021,9555,5029,9555,5033,9554,5039,9548,5040,9544,5040,9540,5040,9536xm5040,8936l5039,8932,5033,8926,5029,8925,5021,8925,5017,8926,5011,8932,5010,8936,5010,8944,5011,8948,5017,8954,5021,8955,5029,8955,5033,8954,5039,8948,5040,8944,5040,8940,5040,8936xm5040,8336l5039,8332,5033,8326,5029,8325,5021,8325,5017,8326,5011,8332,5010,8336,5010,8355,5010,8359,5011,8363,5017,8369,5021,8370,5029,8370,5033,8369,5039,8363,5040,8359,5040,8336xm5040,7106l5039,7102,5033,7096,5029,7095,5021,7095,5017,7096,5011,7102,5010,7106,5010,7114,5011,7118,5017,7124,5021,7125,5029,7125,5033,7124,5039,7118,5040,7114,5040,7110,5040,7106xm5040,6506l5039,6502,5033,6496,5029,6495,5021,6495,5017,6496,5011,6502,5010,6506,5010,6514,5011,6518,5017,6524,5021,6525,5029,6525,5033,6524,5039,6518,5040,6514,5040,6510,5040,6506xm5040,5906l5039,5902,5033,5896,5029,5895,5021,5895,5017,5896,5011,5902,5010,5906,5010,5914,5011,5918,5017,5924,5021,5925,5029,5925,5033,5924,5039,5918,5040,5914,5040,5910,5040,59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0"/>
        <w:rPr>
          <w:rFonts w:ascii="Calibri"/>
          <w:b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8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7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155" w:right="340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Dallas,</w:t>
      </w:r>
      <w:r>
        <w:rPr>
          <w:color w:val="FFFFFF"/>
          <w:spacing w:val="-12"/>
        </w:rPr>
        <w:t> </w:t>
      </w:r>
      <w:r>
        <w:rPr>
          <w:color w:val="FFFFFF"/>
        </w:rPr>
        <w:t>TX</w:t>
      </w:r>
    </w:p>
    <w:p>
      <w:pPr>
        <w:pStyle w:val="Heading1"/>
        <w:spacing w:before="143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396" w:lineRule="auto" w:before="203"/>
        <w:ind w:left="579"/>
      </w:pPr>
      <w:r>
        <w:rPr>
          <w:color w:val="FFFFFF"/>
          <w:w w:val="105"/>
        </w:rPr>
        <w:t>Team leadership and mentoring Patient safety compliance</w:t>
      </w:r>
    </w:p>
    <w:p>
      <w:pPr>
        <w:pStyle w:val="BodyText"/>
        <w:spacing w:line="405" w:lineRule="auto"/>
        <w:ind w:left="579" w:right="357"/>
      </w:pPr>
      <w:r>
        <w:rPr>
          <w:color w:val="FFFFFF"/>
          <w:w w:val="105"/>
        </w:rPr>
        <w:t>Staff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development Workflow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optimization Infection prevention protocols</w:t>
      </w:r>
    </w:p>
    <w:p>
      <w:pPr>
        <w:pStyle w:val="Heading1"/>
        <w:spacing w:before="168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before="218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</w:t>
      </w:r>
      <w:r>
        <w:rPr>
          <w:b/>
          <w:color w:val="FFFFFF"/>
          <w:spacing w:val="6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2"/>
          <w:sz w:val="18"/>
        </w:rPr>
        <w:t> </w:t>
      </w:r>
      <w:r>
        <w:rPr>
          <w:b/>
          <w:color w:val="FFFFFF"/>
          <w:sz w:val="18"/>
        </w:rPr>
        <w:t>Science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z w:val="18"/>
        </w:rPr>
        <w:t>(A.S.)</w:t>
      </w:r>
      <w:r>
        <w:rPr>
          <w:b/>
          <w:color w:val="FFFFFF"/>
          <w:spacing w:val="6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pacing w:val="-2"/>
          <w:sz w:val="18"/>
        </w:rPr>
        <w:t>Nursing</w:t>
      </w:r>
    </w:p>
    <w:p>
      <w:pPr>
        <w:pStyle w:val="BodyText"/>
        <w:spacing w:line="292" w:lineRule="auto" w:before="46"/>
        <w:ind w:left="281" w:right="519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Texas,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Dallas,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TX </w:t>
      </w:r>
      <w:r>
        <w:rPr>
          <w:color w:val="FFFFFF"/>
          <w:w w:val="105"/>
        </w:rPr>
        <w:t>May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2012</w:t>
      </w:r>
    </w:p>
    <w:p>
      <w:pPr>
        <w:pStyle w:val="Heading1"/>
        <w:spacing w:before="108"/>
      </w:pPr>
      <w:r>
        <w:rPr>
          <w:b w:val="0"/>
        </w:rPr>
        <w:br w:type="column"/>
      </w:r>
      <w:r>
        <w:rPr>
          <w:color w:val="A38182"/>
          <w:w w:val="130"/>
        </w:rPr>
        <w:t>A</w:t>
      </w:r>
      <w:r>
        <w:rPr>
          <w:color w:val="A38182"/>
          <w:spacing w:val="-17"/>
          <w:w w:val="130"/>
        </w:rPr>
        <w:t> </w:t>
      </w:r>
      <w:r>
        <w:rPr>
          <w:color w:val="A38182"/>
          <w:w w:val="130"/>
        </w:rPr>
        <w:t>B</w:t>
      </w:r>
      <w:r>
        <w:rPr>
          <w:color w:val="A38182"/>
          <w:spacing w:val="-16"/>
          <w:w w:val="130"/>
        </w:rPr>
        <w:t> </w:t>
      </w:r>
      <w:r>
        <w:rPr>
          <w:color w:val="A38182"/>
          <w:w w:val="130"/>
        </w:rPr>
        <w:t>O</w:t>
      </w:r>
      <w:r>
        <w:rPr>
          <w:color w:val="A38182"/>
          <w:spacing w:val="-16"/>
          <w:w w:val="130"/>
        </w:rPr>
        <w:t> </w:t>
      </w:r>
      <w:r>
        <w:rPr>
          <w:color w:val="A38182"/>
          <w:w w:val="130"/>
        </w:rPr>
        <w:t>U</w:t>
      </w:r>
      <w:r>
        <w:rPr>
          <w:color w:val="A38182"/>
          <w:spacing w:val="-18"/>
          <w:w w:val="130"/>
        </w:rPr>
        <w:t> </w:t>
      </w:r>
      <w:r>
        <w:rPr>
          <w:color w:val="A38182"/>
          <w:w w:val="130"/>
        </w:rPr>
        <w:t>T</w:t>
      </w:r>
      <w:r>
        <w:rPr>
          <w:color w:val="A38182"/>
          <w:spacing w:val="44"/>
          <w:w w:val="130"/>
        </w:rPr>
        <w:t> </w:t>
      </w:r>
      <w:r>
        <w:rPr>
          <w:color w:val="A38182"/>
          <w:w w:val="130"/>
        </w:rPr>
        <w:t>M</w:t>
      </w:r>
      <w:r>
        <w:rPr>
          <w:color w:val="A38182"/>
          <w:spacing w:val="-16"/>
          <w:w w:val="130"/>
        </w:rPr>
        <w:t> </w:t>
      </w:r>
      <w:r>
        <w:rPr>
          <w:color w:val="A38182"/>
          <w:spacing w:val="-12"/>
          <w:w w:val="130"/>
        </w:rPr>
        <w:t>E</w:t>
      </w:r>
    </w:p>
    <w:p>
      <w:pPr>
        <w:pStyle w:val="BodyText"/>
        <w:spacing w:line="292" w:lineRule="auto" w:before="113"/>
        <w:ind w:left="95"/>
      </w:pPr>
      <w:r>
        <w:rPr>
          <w:w w:val="105"/>
        </w:rPr>
        <w:t>Dedicated</w:t>
      </w:r>
      <w:r>
        <w:rPr>
          <w:spacing w:val="40"/>
          <w:w w:val="105"/>
        </w:rPr>
        <w:t> </w:t>
      </w:r>
      <w:r>
        <w:rPr>
          <w:w w:val="105"/>
        </w:rPr>
        <w:t>CNA supervisor with</w:t>
      </w:r>
      <w:r>
        <w:rPr>
          <w:spacing w:val="40"/>
          <w:w w:val="105"/>
        </w:rPr>
        <w:t> </w:t>
      </w:r>
      <w:r>
        <w:rPr>
          <w:w w:val="105"/>
        </w:rPr>
        <w:t>12 years</w:t>
      </w:r>
      <w:r>
        <w:rPr>
          <w:spacing w:val="40"/>
          <w:w w:val="105"/>
        </w:rPr>
        <w:t> </w:t>
      </w:r>
      <w:r>
        <w:rPr>
          <w:w w:val="105"/>
        </w:rPr>
        <w:t>of experience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teams</w:t>
      </w:r>
      <w:r>
        <w:rPr>
          <w:spacing w:val="40"/>
          <w:w w:val="105"/>
        </w:rPr>
        <w:t> </w:t>
      </w:r>
      <w:r>
        <w:rPr>
          <w:w w:val="105"/>
        </w:rPr>
        <w:t>in hospital and long-term care settings. Strong leadership skills in staff training, workflow optimization, and quality patient care initiatives. Committed to improving team efficiency and patient outcomes.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A38182"/>
          <w:w w:val="135"/>
        </w:rPr>
        <w:t>P</w:t>
      </w:r>
      <w:r>
        <w:rPr>
          <w:color w:val="A38182"/>
          <w:spacing w:val="-20"/>
          <w:w w:val="135"/>
        </w:rPr>
        <w:t> </w:t>
      </w:r>
      <w:r>
        <w:rPr>
          <w:color w:val="A38182"/>
          <w:w w:val="135"/>
        </w:rPr>
        <w:t>R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O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F</w:t>
      </w:r>
      <w:r>
        <w:rPr>
          <w:color w:val="A38182"/>
          <w:spacing w:val="-17"/>
          <w:w w:val="135"/>
        </w:rPr>
        <w:t> </w:t>
      </w:r>
      <w:r>
        <w:rPr>
          <w:color w:val="A38182"/>
          <w:w w:val="135"/>
        </w:rPr>
        <w:t>E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S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S</w:t>
      </w:r>
      <w:r>
        <w:rPr>
          <w:color w:val="A38182"/>
          <w:spacing w:val="-17"/>
          <w:w w:val="135"/>
        </w:rPr>
        <w:t> </w:t>
      </w:r>
      <w:r>
        <w:rPr>
          <w:color w:val="A38182"/>
          <w:w w:val="135"/>
        </w:rPr>
        <w:t>I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O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N</w:t>
      </w:r>
      <w:r>
        <w:rPr>
          <w:color w:val="A38182"/>
          <w:spacing w:val="-17"/>
          <w:w w:val="135"/>
        </w:rPr>
        <w:t> </w:t>
      </w:r>
      <w:r>
        <w:rPr>
          <w:color w:val="A38182"/>
          <w:w w:val="135"/>
        </w:rPr>
        <w:t>A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L</w:t>
      </w:r>
      <w:r>
        <w:rPr>
          <w:color w:val="A38182"/>
          <w:spacing w:val="72"/>
          <w:w w:val="135"/>
        </w:rPr>
        <w:t> </w:t>
      </w:r>
      <w:r>
        <w:rPr>
          <w:color w:val="A38182"/>
          <w:w w:val="135"/>
        </w:rPr>
        <w:t>E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X</w:t>
      </w:r>
      <w:r>
        <w:rPr>
          <w:color w:val="A38182"/>
          <w:spacing w:val="-22"/>
          <w:w w:val="135"/>
        </w:rPr>
        <w:t> </w:t>
      </w:r>
      <w:r>
        <w:rPr>
          <w:color w:val="A38182"/>
          <w:w w:val="135"/>
        </w:rPr>
        <w:t>P</w:t>
      </w:r>
      <w:r>
        <w:rPr>
          <w:color w:val="A38182"/>
          <w:spacing w:val="-20"/>
          <w:w w:val="135"/>
        </w:rPr>
        <w:t> </w:t>
      </w:r>
      <w:r>
        <w:rPr>
          <w:color w:val="A38182"/>
          <w:w w:val="135"/>
        </w:rPr>
        <w:t>E</w:t>
      </w:r>
      <w:r>
        <w:rPr>
          <w:color w:val="A38182"/>
          <w:spacing w:val="-17"/>
          <w:w w:val="135"/>
        </w:rPr>
        <w:t> </w:t>
      </w:r>
      <w:r>
        <w:rPr>
          <w:color w:val="A38182"/>
          <w:w w:val="135"/>
        </w:rPr>
        <w:t>R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I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E</w:t>
      </w:r>
      <w:r>
        <w:rPr>
          <w:color w:val="A38182"/>
          <w:spacing w:val="-18"/>
          <w:w w:val="135"/>
        </w:rPr>
        <w:t> </w:t>
      </w:r>
      <w:r>
        <w:rPr>
          <w:color w:val="A38182"/>
          <w:w w:val="135"/>
        </w:rPr>
        <w:t>N</w:t>
      </w:r>
      <w:r>
        <w:rPr>
          <w:color w:val="A38182"/>
          <w:spacing w:val="-17"/>
          <w:w w:val="135"/>
        </w:rPr>
        <w:t> </w:t>
      </w:r>
      <w:r>
        <w:rPr>
          <w:color w:val="A38182"/>
          <w:w w:val="135"/>
        </w:rPr>
        <w:t>C</w:t>
      </w:r>
      <w:r>
        <w:rPr>
          <w:color w:val="A38182"/>
          <w:spacing w:val="-18"/>
          <w:w w:val="135"/>
        </w:rPr>
        <w:t> </w:t>
      </w:r>
      <w:r>
        <w:rPr>
          <w:color w:val="A38182"/>
          <w:spacing w:val="-10"/>
          <w:w w:val="135"/>
        </w:rPr>
        <w:t>E</w:t>
      </w:r>
    </w:p>
    <w:p>
      <w:pPr>
        <w:pStyle w:val="BodyText"/>
        <w:spacing w:before="110"/>
        <w:ind w:left="95"/>
        <w:rPr>
          <w:rFonts w:ascii="Calibri"/>
        </w:rPr>
      </w:pPr>
      <w:r>
        <w:rPr>
          <w:rFonts w:ascii="Calibri"/>
          <w:w w:val="120"/>
        </w:rPr>
        <w:t>CNA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w w:val="120"/>
        </w:rPr>
        <w:t>Supervisor</w:t>
      </w:r>
      <w:r>
        <w:rPr>
          <w:rFonts w:ascii="Calibri"/>
          <w:spacing w:val="31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1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>
          <w:w w:val="105"/>
        </w:rPr>
        <w:t>Texas</w:t>
      </w:r>
      <w:r>
        <w:rPr>
          <w:spacing w:val="19"/>
          <w:w w:val="105"/>
        </w:rPr>
        <w:t> </w:t>
      </w:r>
      <w:r>
        <w:rPr>
          <w:w w:val="105"/>
        </w:rPr>
        <w:t>Regional</w:t>
      </w:r>
      <w:r>
        <w:rPr>
          <w:spacing w:val="10"/>
          <w:w w:val="105"/>
        </w:rPr>
        <w:t> </w:t>
      </w:r>
      <w:r>
        <w:rPr>
          <w:w w:val="105"/>
        </w:rPr>
        <w:t>Medical</w:t>
      </w:r>
      <w:r>
        <w:rPr>
          <w:spacing w:val="11"/>
          <w:w w:val="105"/>
        </w:rPr>
        <w:t> </w:t>
      </w:r>
      <w:r>
        <w:rPr>
          <w:w w:val="105"/>
        </w:rPr>
        <w:t>Center,</w:t>
      </w:r>
      <w:r>
        <w:rPr>
          <w:spacing w:val="19"/>
          <w:w w:val="105"/>
        </w:rPr>
        <w:t> </w:t>
      </w:r>
      <w:r>
        <w:rPr>
          <w:w w:val="105"/>
        </w:rPr>
        <w:t>Dallas,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51"/>
        <w:ind w:left="653" w:right="357"/>
      </w:pPr>
      <w:r>
        <w:rPr>
          <w:w w:val="105"/>
        </w:rPr>
        <w:t>Oversee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mentor a</w:t>
      </w:r>
      <w:r>
        <w:rPr>
          <w:spacing w:val="29"/>
          <w:w w:val="105"/>
        </w:rPr>
        <w:t> </w:t>
      </w:r>
      <w:r>
        <w:rPr>
          <w:w w:val="105"/>
        </w:rPr>
        <w:t>team</w:t>
      </w:r>
      <w:r>
        <w:rPr>
          <w:spacing w:val="29"/>
          <w:w w:val="105"/>
        </w:rPr>
        <w:t> </w:t>
      </w:r>
      <w:r>
        <w:rPr>
          <w:w w:val="105"/>
        </w:rPr>
        <w:t>of 20</w:t>
      </w:r>
      <w:r>
        <w:rPr>
          <w:spacing w:val="29"/>
          <w:w w:val="105"/>
        </w:rPr>
        <w:t> </w:t>
      </w:r>
      <w:r>
        <w:rPr>
          <w:w w:val="105"/>
        </w:rPr>
        <w:t>CNAs,</w:t>
      </w:r>
      <w:r>
        <w:rPr>
          <w:spacing w:val="29"/>
          <w:w w:val="105"/>
        </w:rPr>
        <w:t> </w:t>
      </w:r>
      <w:r>
        <w:rPr>
          <w:w w:val="105"/>
        </w:rPr>
        <w:t>ensuring</w:t>
      </w:r>
      <w:r>
        <w:rPr>
          <w:spacing w:val="29"/>
          <w:w w:val="105"/>
        </w:rPr>
        <w:t> </w:t>
      </w:r>
      <w:r>
        <w:rPr>
          <w:w w:val="105"/>
        </w:rPr>
        <w:t>compliance with patient care protocols and state regulations</w:t>
      </w:r>
    </w:p>
    <w:p>
      <w:pPr>
        <w:pStyle w:val="BodyText"/>
        <w:spacing w:line="292" w:lineRule="auto" w:before="90"/>
        <w:ind w:left="653" w:right="357"/>
      </w:pPr>
      <w:r>
        <w:rPr>
          <w:w w:val="105"/>
        </w:rPr>
        <w:t>Implement staff training programs that increased team efficiency by 25% and improved patient satisfaction scores by 10%</w:t>
      </w:r>
    </w:p>
    <w:p>
      <w:pPr>
        <w:pStyle w:val="BodyText"/>
        <w:spacing w:line="292" w:lineRule="auto" w:before="90"/>
        <w:ind w:left="653" w:right="357"/>
      </w:pPr>
      <w:r>
        <w:rPr>
          <w:w w:val="105"/>
        </w:rPr>
        <w:t>Coordinate with RNs and doctors to streamline care procedures and</w:t>
      </w:r>
      <w:r>
        <w:rPr>
          <w:spacing w:val="80"/>
          <w:w w:val="105"/>
        </w:rPr>
        <w:t> </w:t>
      </w:r>
      <w:r>
        <w:rPr>
          <w:w w:val="105"/>
        </w:rPr>
        <w:t>optimize workflow for high-acuity patients</w:t>
      </w:r>
    </w:p>
    <w:p>
      <w:pPr>
        <w:pStyle w:val="BodyText"/>
        <w:spacing w:before="102"/>
        <w:ind w:left="95"/>
        <w:rPr>
          <w:rFonts w:ascii="Calibri"/>
        </w:rPr>
      </w:pPr>
      <w:r>
        <w:rPr>
          <w:rFonts w:ascii="Calibri"/>
          <w:w w:val="120"/>
        </w:rPr>
        <w:t>Certified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Nursing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Assistant</w:t>
      </w:r>
      <w:r>
        <w:rPr>
          <w:rFonts w:ascii="Calibri"/>
          <w:spacing w:val="28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2012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28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38"/>
        <w:ind w:left="95"/>
      </w:pPr>
      <w:r>
        <w:rPr>
          <w:w w:val="105"/>
        </w:rPr>
        <w:t>Dallas</w:t>
      </w:r>
      <w:r>
        <w:rPr>
          <w:spacing w:val="14"/>
          <w:w w:val="105"/>
        </w:rPr>
        <w:t> </w:t>
      </w:r>
      <w:r>
        <w:rPr>
          <w:w w:val="105"/>
        </w:rPr>
        <w:t>Senior</w:t>
      </w:r>
      <w:r>
        <w:rPr>
          <w:spacing w:val="9"/>
          <w:w w:val="105"/>
        </w:rPr>
        <w:t> </w:t>
      </w:r>
      <w:r>
        <w:rPr>
          <w:w w:val="105"/>
        </w:rPr>
        <w:t>Care</w:t>
      </w:r>
      <w:r>
        <w:rPr>
          <w:spacing w:val="14"/>
          <w:w w:val="105"/>
        </w:rPr>
        <w:t> </w:t>
      </w:r>
      <w:r>
        <w:rPr>
          <w:w w:val="105"/>
        </w:rPr>
        <w:t>Center,</w:t>
      </w:r>
      <w:r>
        <w:rPr>
          <w:spacing w:val="14"/>
          <w:w w:val="105"/>
        </w:rPr>
        <w:t> </w:t>
      </w:r>
      <w:r>
        <w:rPr>
          <w:w w:val="105"/>
        </w:rPr>
        <w:t>Dallas,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line="292" w:lineRule="auto" w:before="166"/>
        <w:ind w:left="653"/>
      </w:pPr>
      <w:r>
        <w:rPr>
          <w:w w:val="105"/>
        </w:rPr>
        <w:t>Delivered compassionate care to 30+ residents daily in a long-term care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setting</w:t>
      </w:r>
    </w:p>
    <w:p>
      <w:pPr>
        <w:pStyle w:val="BodyText"/>
        <w:spacing w:line="276" w:lineRule="auto" w:before="90"/>
        <w:ind w:left="653" w:right="259"/>
      </w:pPr>
      <w:r>
        <w:rPr>
          <w:w w:val="105"/>
        </w:rPr>
        <w:t>Assisted in creating new patient mobility programs, reducing fall rates</w:t>
      </w:r>
      <w:r>
        <w:rPr>
          <w:spacing w:val="40"/>
          <w:w w:val="105"/>
        </w:rPr>
        <w:t> </w:t>
      </w:r>
      <w:r>
        <w:rPr>
          <w:w w:val="105"/>
        </w:rPr>
        <w:t>by 20%</w:t>
      </w:r>
    </w:p>
    <w:p>
      <w:pPr>
        <w:pStyle w:val="BodyText"/>
        <w:spacing w:line="276" w:lineRule="auto" w:before="119"/>
        <w:ind w:left="653" w:right="357"/>
      </w:pPr>
      <w:r>
        <w:rPr>
          <w:w w:val="105"/>
        </w:rPr>
        <w:t>Trained junior CNAs on best practices for resident care and infection </w:t>
      </w:r>
      <w:r>
        <w:rPr>
          <w:spacing w:val="-2"/>
          <w:w w:val="105"/>
        </w:rPr>
        <w:t>control</w:t>
      </w:r>
    </w:p>
    <w:p>
      <w:pPr>
        <w:pStyle w:val="BodyText"/>
        <w:spacing w:before="88"/>
      </w:pPr>
    </w:p>
    <w:p>
      <w:pPr>
        <w:pStyle w:val="Heading1"/>
      </w:pPr>
      <w:r>
        <w:rPr>
          <w:color w:val="A38182"/>
          <w:w w:val="130"/>
        </w:rPr>
        <w:t>C</w:t>
      </w:r>
      <w:r>
        <w:rPr>
          <w:color w:val="A38182"/>
          <w:spacing w:val="-14"/>
          <w:w w:val="130"/>
        </w:rPr>
        <w:t> </w:t>
      </w:r>
      <w:r>
        <w:rPr>
          <w:color w:val="A38182"/>
          <w:w w:val="130"/>
        </w:rPr>
        <w:t>E</w:t>
      </w:r>
      <w:r>
        <w:rPr>
          <w:color w:val="A38182"/>
          <w:spacing w:val="-13"/>
          <w:w w:val="130"/>
        </w:rPr>
        <w:t> </w:t>
      </w:r>
      <w:r>
        <w:rPr>
          <w:color w:val="A38182"/>
          <w:w w:val="130"/>
        </w:rPr>
        <w:t>R</w:t>
      </w:r>
      <w:r>
        <w:rPr>
          <w:color w:val="A38182"/>
          <w:spacing w:val="-16"/>
          <w:w w:val="130"/>
        </w:rPr>
        <w:t> </w:t>
      </w:r>
      <w:r>
        <w:rPr>
          <w:color w:val="A38182"/>
          <w:w w:val="130"/>
        </w:rPr>
        <w:t>T</w:t>
      </w:r>
      <w:r>
        <w:rPr>
          <w:color w:val="A38182"/>
          <w:spacing w:val="-13"/>
          <w:w w:val="130"/>
        </w:rPr>
        <w:t> </w:t>
      </w:r>
      <w:r>
        <w:rPr>
          <w:color w:val="A38182"/>
          <w:w w:val="130"/>
        </w:rPr>
        <w:t>I</w:t>
      </w:r>
      <w:r>
        <w:rPr>
          <w:color w:val="A38182"/>
          <w:spacing w:val="-14"/>
          <w:w w:val="130"/>
        </w:rPr>
        <w:t> </w:t>
      </w:r>
      <w:r>
        <w:rPr>
          <w:color w:val="A38182"/>
          <w:w w:val="130"/>
        </w:rPr>
        <w:t>F</w:t>
      </w:r>
      <w:r>
        <w:rPr>
          <w:color w:val="A38182"/>
          <w:spacing w:val="-13"/>
          <w:w w:val="130"/>
        </w:rPr>
        <w:t> </w:t>
      </w:r>
      <w:r>
        <w:rPr>
          <w:color w:val="A38182"/>
          <w:w w:val="130"/>
        </w:rPr>
        <w:t>I</w:t>
      </w:r>
      <w:r>
        <w:rPr>
          <w:color w:val="A38182"/>
          <w:spacing w:val="-14"/>
          <w:w w:val="130"/>
        </w:rPr>
        <w:t> </w:t>
      </w:r>
      <w:r>
        <w:rPr>
          <w:color w:val="A38182"/>
          <w:w w:val="130"/>
        </w:rPr>
        <w:t>C</w:t>
      </w:r>
      <w:r>
        <w:rPr>
          <w:color w:val="A38182"/>
          <w:spacing w:val="-16"/>
          <w:w w:val="130"/>
        </w:rPr>
        <w:t> </w:t>
      </w:r>
      <w:r>
        <w:rPr>
          <w:color w:val="A38182"/>
          <w:w w:val="130"/>
        </w:rPr>
        <w:t>A</w:t>
      </w:r>
      <w:r>
        <w:rPr>
          <w:color w:val="A38182"/>
          <w:spacing w:val="-21"/>
          <w:w w:val="130"/>
        </w:rPr>
        <w:t> </w:t>
      </w:r>
      <w:r>
        <w:rPr>
          <w:color w:val="A38182"/>
          <w:w w:val="130"/>
        </w:rPr>
        <w:t>T</w:t>
      </w:r>
      <w:r>
        <w:rPr>
          <w:color w:val="A38182"/>
          <w:spacing w:val="-14"/>
          <w:w w:val="130"/>
        </w:rPr>
        <w:t> </w:t>
      </w:r>
      <w:r>
        <w:rPr>
          <w:color w:val="A38182"/>
          <w:w w:val="130"/>
        </w:rPr>
        <w:t>I</w:t>
      </w:r>
      <w:r>
        <w:rPr>
          <w:color w:val="A38182"/>
          <w:spacing w:val="-13"/>
          <w:w w:val="130"/>
        </w:rPr>
        <w:t> </w:t>
      </w:r>
      <w:r>
        <w:rPr>
          <w:color w:val="A38182"/>
          <w:w w:val="130"/>
        </w:rPr>
        <w:t>O</w:t>
      </w:r>
      <w:r>
        <w:rPr>
          <w:color w:val="A38182"/>
          <w:spacing w:val="-14"/>
          <w:w w:val="130"/>
        </w:rPr>
        <w:t> </w:t>
      </w:r>
      <w:r>
        <w:rPr>
          <w:color w:val="A38182"/>
          <w:w w:val="130"/>
        </w:rPr>
        <w:t>N</w:t>
      </w:r>
      <w:r>
        <w:rPr>
          <w:color w:val="A38182"/>
          <w:spacing w:val="-13"/>
          <w:w w:val="130"/>
        </w:rPr>
        <w:t> </w:t>
      </w:r>
      <w:r>
        <w:rPr>
          <w:color w:val="A38182"/>
          <w:spacing w:val="-10"/>
          <w:w w:val="130"/>
        </w:rPr>
        <w:t>S</w:t>
      </w:r>
    </w:p>
    <w:p>
      <w:pPr>
        <w:pStyle w:val="BodyText"/>
        <w:spacing w:line="396" w:lineRule="auto" w:before="113"/>
        <w:ind w:left="393" w:right="1553"/>
      </w:pPr>
      <w:r>
        <w:rPr/>
        <w:t>Certified</w:t>
      </w:r>
      <w:r>
        <w:rPr>
          <w:spacing w:val="40"/>
        </w:rPr>
        <w:t> </w:t>
      </w:r>
      <w:r>
        <w:rPr/>
        <w:t>Nursing</w:t>
      </w:r>
      <w:r>
        <w:rPr>
          <w:spacing w:val="36"/>
        </w:rPr>
        <w:t> </w:t>
      </w:r>
      <w:r>
        <w:rPr/>
        <w:t>Assistant</w:t>
      </w:r>
      <w:r>
        <w:rPr>
          <w:spacing w:val="40"/>
        </w:rPr>
        <w:t> </w:t>
      </w:r>
      <w:r>
        <w:rPr/>
        <w:t>(CNA),</w:t>
      </w:r>
      <w:r>
        <w:rPr>
          <w:spacing w:val="38"/>
        </w:rPr>
        <w:t> </w:t>
      </w:r>
      <w:r>
        <w:rPr/>
        <w:t>Texas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38"/>
        </w:rPr>
        <w:t> </w:t>
      </w:r>
      <w:r>
        <w:rPr/>
        <w:t>2012 Advanced</w:t>
      </w:r>
      <w:r>
        <w:rPr>
          <w:spacing w:val="47"/>
        </w:rPr>
        <w:t> </w:t>
      </w:r>
      <w:r>
        <w:rPr/>
        <w:t>CNA</w:t>
      </w:r>
      <w:r>
        <w:rPr>
          <w:spacing w:val="36"/>
        </w:rPr>
        <w:t> </w:t>
      </w:r>
      <w:r>
        <w:rPr/>
        <w:t>Leadership</w:t>
      </w:r>
      <w:r>
        <w:rPr>
          <w:spacing w:val="47"/>
        </w:rPr>
        <w:t> </w:t>
      </w:r>
      <w:r>
        <w:rPr/>
        <w:t>Certification</w:t>
      </w:r>
      <w:r>
        <w:rPr>
          <w:spacing w:val="47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/>
        <w:t>September</w:t>
      </w:r>
      <w:r>
        <w:rPr>
          <w:spacing w:val="39"/>
        </w:rPr>
        <w:t> </w:t>
      </w:r>
      <w:r>
        <w:rPr/>
        <w:t>2017</w:t>
      </w:r>
    </w:p>
    <w:sectPr>
      <w:type w:val="continuous"/>
      <w:pgSz w:w="11920" w:h="16860"/>
      <w:pgMar w:top="1200" w:bottom="280" w:left="425" w:right="141"/>
      <w:cols w:num="2" w:equalWidth="0">
        <w:col w:w="3582" w:space="640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2026-02-20T12:23:41Z</dcterms:created>
  <dcterms:modified xsi:type="dcterms:W3CDTF">2026-02-20T12:23:41Z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