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0"/>
        <w:ind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A26E00"/>
          <w:sz w:val="70"/>
        </w:rPr>
        <w:t>Shawn</w:t>
      </w:r>
      <w:r>
        <w:rPr>
          <w:rFonts w:ascii="Arial"/>
          <w:b/>
          <w:color w:val="A26E00"/>
          <w:spacing w:val="-20"/>
          <w:sz w:val="70"/>
        </w:rPr>
        <w:t> </w:t>
      </w:r>
      <w:r>
        <w:rPr>
          <w:rFonts w:ascii="Microsoft Sans Serif"/>
          <w:color w:val="A26E00"/>
          <w:spacing w:val="-4"/>
          <w:sz w:val="70"/>
        </w:rPr>
        <w:t>White</w:t>
      </w:r>
    </w:p>
    <w:p>
      <w:pPr>
        <w:pStyle w:val="Heading1"/>
      </w:pPr>
      <w:r>
        <w:rPr>
          <w:color w:val="A26E00"/>
        </w:rPr>
        <w:t>Bilingual</w:t>
      </w:r>
      <w:r>
        <w:rPr>
          <w:color w:val="A26E00"/>
          <w:spacing w:val="13"/>
        </w:rPr>
        <w:t> </w:t>
      </w:r>
      <w:r>
        <w:rPr>
          <w:color w:val="A26E00"/>
        </w:rPr>
        <w:t>Data</w:t>
      </w:r>
      <w:r>
        <w:rPr>
          <w:color w:val="A26E00"/>
          <w:spacing w:val="14"/>
        </w:rPr>
        <w:t> </w:t>
      </w:r>
      <w:r>
        <w:rPr>
          <w:color w:val="A26E00"/>
        </w:rPr>
        <w:t>Entry</w:t>
      </w:r>
      <w:r>
        <w:rPr>
          <w:color w:val="A26E00"/>
          <w:spacing w:val="14"/>
        </w:rPr>
        <w:t> </w:t>
      </w:r>
      <w:r>
        <w:rPr>
          <w:color w:val="A26E00"/>
          <w:spacing w:val="-2"/>
        </w:rPr>
        <w:t>Specialist</w:t>
      </w:r>
    </w:p>
    <w:p>
      <w:pPr>
        <w:spacing w:before="166"/>
        <w:ind w:left="154" w:right="0" w:firstLine="0"/>
        <w:jc w:val="left"/>
        <w:rPr>
          <w:sz w:val="13"/>
        </w:rPr>
      </w:pPr>
      <w:r>
        <w:rPr>
          <w:w w:val="115"/>
          <w:sz w:val="13"/>
        </w:rPr>
        <w:t>(000)</w:t>
      </w:r>
      <w:r>
        <w:rPr>
          <w:spacing w:val="23"/>
          <w:w w:val="115"/>
          <w:sz w:val="13"/>
        </w:rPr>
        <w:t> </w:t>
      </w:r>
      <w:r>
        <w:rPr>
          <w:w w:val="115"/>
          <w:sz w:val="13"/>
        </w:rPr>
        <w:t>000-0000</w:t>
      </w:r>
      <w:r>
        <w:rPr>
          <w:spacing w:val="46"/>
          <w:w w:val="115"/>
          <w:sz w:val="13"/>
        </w:rPr>
        <w:t> </w:t>
      </w:r>
      <w:r>
        <w:rPr>
          <w:sz w:val="9"/>
        </w:rPr>
        <w:t>•</w:t>
      </w:r>
      <w:r>
        <w:rPr>
          <w:spacing w:val="57"/>
          <w:w w:val="115"/>
          <w:sz w:val="9"/>
        </w:rPr>
        <w:t> </w:t>
      </w:r>
      <w:r>
        <w:rPr>
          <w:w w:val="115"/>
          <w:sz w:val="13"/>
        </w:rPr>
        <w:t>Miami,</w:t>
      </w:r>
      <w:r>
        <w:rPr>
          <w:spacing w:val="23"/>
          <w:w w:val="115"/>
          <w:sz w:val="13"/>
        </w:rPr>
        <w:t> </w:t>
      </w:r>
      <w:r>
        <w:rPr>
          <w:w w:val="115"/>
          <w:sz w:val="13"/>
        </w:rPr>
        <w:t>FL</w:t>
      </w:r>
      <w:r>
        <w:rPr>
          <w:spacing w:val="23"/>
          <w:w w:val="115"/>
          <w:sz w:val="13"/>
        </w:rPr>
        <w:t> </w:t>
      </w:r>
      <w:r>
        <w:rPr>
          <w:w w:val="115"/>
          <w:sz w:val="13"/>
        </w:rPr>
        <w:t>33101</w:t>
      </w:r>
      <w:r>
        <w:rPr>
          <w:spacing w:val="47"/>
          <w:w w:val="115"/>
          <w:sz w:val="13"/>
        </w:rPr>
        <w:t> </w:t>
      </w:r>
      <w:r>
        <w:rPr>
          <w:sz w:val="9"/>
        </w:rPr>
        <w:t>•</w:t>
      </w:r>
      <w:r>
        <w:rPr>
          <w:spacing w:val="57"/>
          <w:w w:val="115"/>
          <w:sz w:val="9"/>
        </w:rPr>
        <w:t> </w:t>
      </w:r>
      <w:hyperlink r:id="rId5">
        <w:r>
          <w:rPr>
            <w:spacing w:val="-2"/>
            <w:w w:val="115"/>
            <w:sz w:val="13"/>
          </w:rPr>
          <w:t>email@example.com</w:t>
        </w:r>
      </w:hyperlink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23"/>
        <w:ind w:firstLine="0"/>
      </w:pPr>
    </w:p>
    <w:p>
      <w:pPr>
        <w:pStyle w:val="BodyText"/>
        <w:spacing w:line="266" w:lineRule="auto"/>
        <w:ind w:left="23" w:firstLine="0"/>
      </w:pPr>
      <w:r>
        <w:rPr>
          <w:w w:val="120"/>
        </w:rPr>
        <w:t>Fluent</w:t>
      </w:r>
      <w:r>
        <w:rPr>
          <w:spacing w:val="40"/>
          <w:w w:val="120"/>
        </w:rPr>
        <w:t> </w:t>
      </w:r>
      <w:r>
        <w:rPr>
          <w:w w:val="120"/>
        </w:rPr>
        <w:t>Spanish-English</w:t>
      </w:r>
      <w:r>
        <w:rPr>
          <w:spacing w:val="40"/>
          <w:w w:val="120"/>
        </w:rPr>
        <w:t> </w:t>
      </w:r>
      <w:r>
        <w:rPr>
          <w:w w:val="120"/>
        </w:rPr>
        <w:t>Data</w:t>
      </w:r>
      <w:r>
        <w:rPr>
          <w:spacing w:val="40"/>
          <w:w w:val="120"/>
        </w:rPr>
        <w:t> </w:t>
      </w:r>
      <w:r>
        <w:rPr>
          <w:w w:val="120"/>
        </w:rPr>
        <w:t>Entry</w:t>
      </w:r>
      <w:r>
        <w:rPr>
          <w:spacing w:val="40"/>
          <w:w w:val="120"/>
        </w:rPr>
        <w:t> </w:t>
      </w:r>
      <w:r>
        <w:rPr>
          <w:w w:val="120"/>
        </w:rPr>
        <w:t>Specialist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9</w:t>
      </w:r>
      <w:r>
        <w:rPr>
          <w:spacing w:val="40"/>
          <w:w w:val="120"/>
        </w:rPr>
        <w:t> </w:t>
      </w:r>
      <w:r>
        <w:rPr>
          <w:w w:val="120"/>
        </w:rPr>
        <w:t>years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experience</w:t>
      </w:r>
      <w:r>
        <w:rPr>
          <w:spacing w:val="40"/>
          <w:w w:val="120"/>
        </w:rPr>
        <w:t> </w:t>
      </w:r>
      <w:r>
        <w:rPr>
          <w:w w:val="120"/>
        </w:rPr>
        <w:t>supporting</w:t>
      </w:r>
      <w:r>
        <w:rPr>
          <w:spacing w:val="40"/>
          <w:w w:val="120"/>
        </w:rPr>
        <w:t> </w:t>
      </w:r>
      <w:r>
        <w:rPr>
          <w:w w:val="120"/>
        </w:rPr>
        <w:t>bilingual</w:t>
      </w:r>
      <w:r>
        <w:rPr>
          <w:spacing w:val="40"/>
          <w:w w:val="120"/>
        </w:rPr>
        <w:t> </w:t>
      </w:r>
      <w:r>
        <w:rPr>
          <w:w w:val="120"/>
        </w:rPr>
        <w:t>document</w:t>
      </w:r>
      <w:r>
        <w:rPr>
          <w:spacing w:val="40"/>
          <w:w w:val="120"/>
        </w:rPr>
        <w:t> </w:t>
      </w:r>
      <w:r>
        <w:rPr>
          <w:w w:val="120"/>
        </w:rPr>
        <w:t>management</w:t>
      </w:r>
      <w:r>
        <w:rPr>
          <w:spacing w:val="40"/>
          <w:w w:val="120"/>
        </w:rPr>
        <w:t> </w:t>
      </w:r>
      <w:r>
        <w:rPr>
          <w:w w:val="120"/>
        </w:rPr>
        <w:t>for immigration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service</w:t>
      </w:r>
      <w:r>
        <w:rPr>
          <w:spacing w:val="40"/>
          <w:w w:val="120"/>
        </w:rPr>
        <w:t> </w:t>
      </w:r>
      <w:r>
        <w:rPr>
          <w:w w:val="120"/>
        </w:rPr>
        <w:t>organizations.</w:t>
      </w:r>
      <w:r>
        <w:rPr>
          <w:spacing w:val="40"/>
          <w:w w:val="120"/>
        </w:rPr>
        <w:t> </w:t>
      </w:r>
      <w:r>
        <w:rPr>
          <w:w w:val="120"/>
        </w:rPr>
        <w:t>Known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cultural</w:t>
      </w:r>
      <w:r>
        <w:rPr>
          <w:spacing w:val="40"/>
          <w:w w:val="120"/>
        </w:rPr>
        <w:t> </w:t>
      </w:r>
      <w:r>
        <w:rPr>
          <w:w w:val="120"/>
        </w:rPr>
        <w:t>accuracy,</w:t>
      </w:r>
      <w:r>
        <w:rPr>
          <w:spacing w:val="40"/>
          <w:w w:val="120"/>
        </w:rPr>
        <w:t> </w:t>
      </w:r>
      <w:r>
        <w:rPr>
          <w:w w:val="120"/>
        </w:rPr>
        <w:t>timely</w:t>
      </w:r>
      <w:r>
        <w:rPr>
          <w:spacing w:val="40"/>
          <w:w w:val="120"/>
        </w:rPr>
        <w:t> </w:t>
      </w:r>
      <w:r>
        <w:rPr>
          <w:w w:val="120"/>
        </w:rPr>
        <w:t>translations,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cross-language</w:t>
      </w:r>
      <w:r>
        <w:rPr>
          <w:spacing w:val="40"/>
          <w:w w:val="120"/>
        </w:rPr>
        <w:t> </w:t>
      </w:r>
      <w:r>
        <w:rPr>
          <w:w w:val="120"/>
        </w:rPr>
        <w:t>form </w:t>
      </w:r>
      <w:r>
        <w:rPr>
          <w:spacing w:val="-2"/>
          <w:w w:val="120"/>
        </w:rPr>
        <w:t>alignment.</w:t>
      </w:r>
    </w:p>
    <w:p>
      <w:pPr>
        <w:pStyle w:val="BodyText"/>
        <w:spacing w:before="32"/>
        <w:ind w:firstLine="0"/>
      </w:pPr>
    </w:p>
    <w:p>
      <w:pPr>
        <w:pStyle w:val="Heading2"/>
      </w:pPr>
      <w:r>
        <w:rPr>
          <w:color w:val="A26E00"/>
          <w:sz w:val="28"/>
        </w:rPr>
        <w:t>P</w:t>
      </w:r>
      <w:r>
        <w:rPr>
          <w:color w:val="A26E00"/>
        </w:rPr>
        <w:t>rofessional</w:t>
      </w:r>
      <w:r>
        <w:rPr>
          <w:color w:val="A26E00"/>
          <w:spacing w:val="53"/>
        </w:rPr>
        <w:t> </w:t>
      </w:r>
      <w:r>
        <w:rPr>
          <w:color w:val="A26E00"/>
          <w:spacing w:val="-2"/>
        </w:rPr>
        <w:t>Experience</w:t>
      </w:r>
    </w:p>
    <w:p>
      <w:pPr>
        <w:pStyle w:val="BodyText"/>
        <w:spacing w:line="254" w:lineRule="auto" w:before="263"/>
        <w:ind w:left="358" w:right="4431" w:firstLine="0"/>
      </w:pPr>
      <w:r>
        <w:rPr>
          <w:w w:val="115"/>
        </w:rPr>
        <w:t>Bilingual</w:t>
      </w:r>
      <w:r>
        <w:rPr>
          <w:spacing w:val="40"/>
          <w:w w:val="115"/>
        </w:rPr>
        <w:t> </w:t>
      </w:r>
      <w:r>
        <w:rPr>
          <w:w w:val="115"/>
        </w:rPr>
        <w:t>Data</w:t>
      </w:r>
      <w:r>
        <w:rPr>
          <w:spacing w:val="40"/>
          <w:w w:val="115"/>
        </w:rPr>
        <w:t> </w:t>
      </w:r>
      <w:r>
        <w:rPr>
          <w:w w:val="115"/>
        </w:rPr>
        <w:t>Entry</w:t>
      </w:r>
      <w:r>
        <w:rPr>
          <w:spacing w:val="40"/>
          <w:w w:val="115"/>
        </w:rPr>
        <w:t> </w:t>
      </w:r>
      <w:r>
        <w:rPr>
          <w:w w:val="115"/>
        </w:rPr>
        <w:t>Specialist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Coastal</w:t>
      </w:r>
      <w:r>
        <w:rPr>
          <w:spacing w:val="40"/>
          <w:w w:val="115"/>
        </w:rPr>
        <w:t> </w:t>
      </w:r>
      <w:r>
        <w:rPr>
          <w:w w:val="115"/>
        </w:rPr>
        <w:t>Legal</w:t>
      </w:r>
      <w:r>
        <w:rPr>
          <w:spacing w:val="40"/>
          <w:w w:val="115"/>
        </w:rPr>
        <w:t> </w:t>
      </w:r>
      <w:r>
        <w:rPr>
          <w:w w:val="115"/>
        </w:rPr>
        <w:t>Aid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Miami,</w:t>
      </w:r>
      <w:r>
        <w:rPr>
          <w:spacing w:val="40"/>
          <w:w w:val="115"/>
        </w:rPr>
        <w:t> </w:t>
      </w:r>
      <w:r>
        <w:rPr>
          <w:w w:val="115"/>
        </w:rPr>
        <w:t>FL</w:t>
      </w:r>
      <w:r>
        <w:rPr>
          <w:spacing w:val="40"/>
          <w:w w:val="115"/>
        </w:rPr>
        <w:t> </w:t>
      </w:r>
      <w:r>
        <w:rPr>
          <w:w w:val="115"/>
        </w:rPr>
        <w:t>January 2018 – 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Enters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translates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over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10,000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Spanish-language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intake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forms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annually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legal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immigration</w:t>
      </w:r>
      <w:r>
        <w:rPr>
          <w:spacing w:val="8"/>
          <w:w w:val="125"/>
          <w:sz w:val="15"/>
        </w:rPr>
        <w:t> </w:t>
      </w:r>
      <w:r>
        <w:rPr>
          <w:spacing w:val="-2"/>
          <w:w w:val="125"/>
          <w:sz w:val="15"/>
        </w:rPr>
        <w:t>services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0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Maintains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dual-format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client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database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Spanish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English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contacts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without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translation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errors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Liaises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case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managers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resolve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discrepancies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in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translated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court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filings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maintain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documentation</w:t>
      </w:r>
      <w:r>
        <w:rPr>
          <w:spacing w:val="35"/>
          <w:w w:val="120"/>
          <w:sz w:val="15"/>
        </w:rPr>
        <w:t> </w:t>
      </w:r>
      <w:r>
        <w:rPr>
          <w:spacing w:val="-2"/>
          <w:w w:val="120"/>
          <w:sz w:val="15"/>
        </w:rPr>
        <w:t>integrity</w:t>
      </w:r>
    </w:p>
    <w:p>
      <w:pPr>
        <w:pStyle w:val="BodyText"/>
        <w:spacing w:line="254" w:lineRule="auto" w:before="147"/>
        <w:ind w:left="358" w:right="3731" w:firstLine="0"/>
      </w:pPr>
      <w:r>
        <w:rPr>
          <w:w w:val="115"/>
        </w:rPr>
        <w:t>Data</w:t>
      </w:r>
      <w:r>
        <w:rPr>
          <w:spacing w:val="40"/>
          <w:w w:val="115"/>
        </w:rPr>
        <w:t> </w:t>
      </w:r>
      <w:r>
        <w:rPr>
          <w:w w:val="115"/>
        </w:rPr>
        <w:t>Entry</w:t>
      </w:r>
      <w:r>
        <w:rPr>
          <w:spacing w:val="40"/>
          <w:w w:val="115"/>
        </w:rPr>
        <w:t> </w:t>
      </w:r>
      <w:r>
        <w:rPr>
          <w:w w:val="115"/>
        </w:rPr>
        <w:t>Clerk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Bilingual</w:t>
      </w:r>
      <w:r>
        <w:rPr>
          <w:spacing w:val="40"/>
          <w:w w:val="115"/>
        </w:rPr>
        <w:t> </w:t>
      </w:r>
      <w:r>
        <w:rPr>
          <w:w w:val="115"/>
        </w:rPr>
        <w:t>Services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Family</w:t>
      </w:r>
      <w:r>
        <w:rPr>
          <w:spacing w:val="40"/>
          <w:w w:val="115"/>
        </w:rPr>
        <w:t> </w:t>
      </w:r>
      <w:r>
        <w:rPr>
          <w:w w:val="115"/>
        </w:rPr>
        <w:t>Rights</w:t>
      </w:r>
      <w:r>
        <w:rPr>
          <w:spacing w:val="40"/>
          <w:w w:val="115"/>
        </w:rPr>
        <w:t> </w:t>
      </w:r>
      <w:r>
        <w:rPr>
          <w:w w:val="115"/>
        </w:rPr>
        <w:t>Initiative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Miami,</w:t>
      </w:r>
      <w:r>
        <w:rPr>
          <w:spacing w:val="40"/>
          <w:w w:val="115"/>
        </w:rPr>
        <w:t> </w:t>
      </w:r>
      <w:r>
        <w:rPr>
          <w:w w:val="115"/>
        </w:rPr>
        <w:t>FL</w:t>
      </w:r>
      <w:r>
        <w:rPr>
          <w:spacing w:val="40"/>
          <w:w w:val="115"/>
        </w:rPr>
        <w:t> </w:t>
      </w:r>
      <w:r>
        <w:rPr>
          <w:w w:val="115"/>
        </w:rPr>
        <w:t>April 2015 – December 2017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Managed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intake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client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history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documents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custody,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housing,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DV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protection</w:t>
      </w:r>
      <w:r>
        <w:rPr>
          <w:spacing w:val="27"/>
          <w:w w:val="120"/>
          <w:sz w:val="15"/>
        </w:rPr>
        <w:t> </w:t>
      </w:r>
      <w:r>
        <w:rPr>
          <w:spacing w:val="-2"/>
          <w:w w:val="120"/>
          <w:sz w:val="15"/>
        </w:rPr>
        <w:t>cases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Created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bilingual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Excel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templates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easier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cross-staff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review,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reducing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review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time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5"/>
          <w:w w:val="120"/>
          <w:sz w:val="15"/>
        </w:rPr>
        <w:t> </w:t>
      </w:r>
      <w:r>
        <w:rPr>
          <w:spacing w:val="-5"/>
          <w:w w:val="120"/>
          <w:sz w:val="15"/>
        </w:rPr>
        <w:t>30%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Flagged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critical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translation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issues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in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immigration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forms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that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affected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application</w:t>
      </w:r>
      <w:r>
        <w:rPr>
          <w:spacing w:val="37"/>
          <w:w w:val="120"/>
          <w:sz w:val="15"/>
        </w:rPr>
        <w:t> </w:t>
      </w:r>
      <w:r>
        <w:rPr>
          <w:spacing w:val="-2"/>
          <w:w w:val="120"/>
          <w:sz w:val="15"/>
        </w:rPr>
        <w:t>status</w:t>
      </w:r>
    </w:p>
    <w:p>
      <w:pPr>
        <w:pStyle w:val="Heading2"/>
        <w:spacing w:before="176"/>
      </w:pPr>
      <w:r>
        <w:rPr>
          <w:color w:val="A26E00"/>
          <w:sz w:val="28"/>
        </w:rPr>
        <w:t>K</w:t>
      </w:r>
      <w:r>
        <w:rPr>
          <w:color w:val="A26E00"/>
        </w:rPr>
        <w:t>ey</w:t>
      </w:r>
      <w:r>
        <w:rPr>
          <w:color w:val="A26E00"/>
          <w:spacing w:val="5"/>
        </w:rPr>
        <w:t> </w:t>
      </w:r>
      <w:r>
        <w:rPr>
          <w:color w:val="A26E00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65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Bilingual</w:t>
      </w:r>
      <w:r>
        <w:rPr>
          <w:spacing w:val="22"/>
          <w:w w:val="125"/>
          <w:sz w:val="15"/>
        </w:rPr>
        <w:t> </w:t>
      </w:r>
      <w:r>
        <w:rPr>
          <w:w w:val="125"/>
          <w:sz w:val="15"/>
        </w:rPr>
        <w:t>data</w:t>
      </w:r>
      <w:r>
        <w:rPr>
          <w:spacing w:val="22"/>
          <w:w w:val="125"/>
          <w:sz w:val="15"/>
        </w:rPr>
        <w:t> </w:t>
      </w:r>
      <w:r>
        <w:rPr>
          <w:spacing w:val="-2"/>
          <w:w w:val="125"/>
          <w:sz w:val="15"/>
        </w:rPr>
        <w:t>input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Legal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intake</w:t>
      </w:r>
      <w:r>
        <w:rPr>
          <w:spacing w:val="17"/>
          <w:w w:val="125"/>
          <w:sz w:val="15"/>
        </w:rPr>
        <w:t> </w:t>
      </w:r>
      <w:r>
        <w:rPr>
          <w:spacing w:val="-2"/>
          <w:w w:val="125"/>
          <w:sz w:val="15"/>
        </w:rPr>
        <w:t>forms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9" w:after="0"/>
        <w:ind w:left="655" w:right="38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Proofreading (Spanish–</w:t>
      </w:r>
      <w:r>
        <w:rPr>
          <w:spacing w:val="-2"/>
          <w:w w:val="120"/>
          <w:sz w:val="15"/>
        </w:rPr>
        <w:t>English)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Typed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transcription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65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5"/>
          <w:sz w:val="15"/>
        </w:rPr>
        <w:t>Cross-language</w:t>
      </w:r>
      <w:r>
        <w:rPr>
          <w:spacing w:val="37"/>
          <w:w w:val="125"/>
          <w:sz w:val="15"/>
        </w:rPr>
        <w:t> </w:t>
      </w:r>
      <w:r>
        <w:rPr>
          <w:w w:val="125"/>
          <w:sz w:val="15"/>
        </w:rPr>
        <w:t>document</w:t>
      </w:r>
      <w:r>
        <w:rPr>
          <w:spacing w:val="38"/>
          <w:w w:val="125"/>
          <w:sz w:val="15"/>
        </w:rPr>
        <w:t> </w:t>
      </w:r>
      <w:r>
        <w:rPr>
          <w:spacing w:val="-2"/>
          <w:w w:val="125"/>
          <w:sz w:val="15"/>
        </w:rPr>
        <w:t>review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Multilingual</w:t>
      </w:r>
      <w:r>
        <w:rPr>
          <w:spacing w:val="46"/>
          <w:w w:val="120"/>
          <w:sz w:val="15"/>
        </w:rPr>
        <w:t> </w:t>
      </w:r>
      <w:r>
        <w:rPr>
          <w:w w:val="120"/>
          <w:sz w:val="15"/>
        </w:rPr>
        <w:t>database</w:t>
      </w:r>
      <w:r>
        <w:rPr>
          <w:spacing w:val="47"/>
          <w:w w:val="120"/>
          <w:sz w:val="15"/>
        </w:rPr>
        <w:t> </w:t>
      </w:r>
      <w:r>
        <w:rPr>
          <w:spacing w:val="-2"/>
          <w:w w:val="120"/>
          <w:sz w:val="15"/>
        </w:rPr>
        <w:t>systems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Translation</w:t>
      </w:r>
      <w:r>
        <w:rPr>
          <w:spacing w:val="29"/>
          <w:w w:val="120"/>
          <w:sz w:val="15"/>
        </w:rPr>
        <w:t> </w:t>
      </w:r>
      <w:r>
        <w:rPr>
          <w:spacing w:val="-2"/>
          <w:w w:val="120"/>
          <w:sz w:val="15"/>
        </w:rPr>
        <w:t>accuracy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495" w:space="909"/>
            <w:col w:w="6533"/>
          </w:cols>
        </w:sectPr>
      </w:pPr>
    </w:p>
    <w:p>
      <w:pPr>
        <w:pStyle w:val="Heading2"/>
        <w:spacing w:before="1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5058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5058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395,0,16858,390,16858,390,13395,390,0xe" filled="true" fillcolor="#a26e00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5172074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7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6515099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12.99993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7439024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85.7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A26E00"/>
          <w:spacing w:val="-2"/>
          <w:sz w:val="28"/>
        </w:rPr>
        <w:t>E</w:t>
      </w:r>
      <w:r>
        <w:rPr>
          <w:color w:val="A26E00"/>
          <w:spacing w:val="-2"/>
        </w:rPr>
        <w:t>ducation</w:t>
      </w:r>
    </w:p>
    <w:p>
      <w:pPr>
        <w:pStyle w:val="BodyText"/>
        <w:spacing w:line="254" w:lineRule="auto" w:before="263"/>
        <w:ind w:left="358" w:right="1538" w:firstLine="0"/>
      </w:pPr>
      <w:r>
        <w:rPr>
          <w:w w:val="115"/>
        </w:rPr>
        <w:t>Bachelor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Arts</w:t>
      </w:r>
      <w:r>
        <w:rPr>
          <w:spacing w:val="40"/>
          <w:w w:val="115"/>
        </w:rPr>
        <w:t> </w:t>
      </w:r>
      <w:r>
        <w:rPr>
          <w:w w:val="115"/>
        </w:rPr>
        <w:t>(B.A.)</w:t>
      </w:r>
      <w:r>
        <w:rPr>
          <w:spacing w:val="40"/>
          <w:w w:val="115"/>
        </w:rPr>
        <w:t> </w:t>
      </w:r>
      <w:r>
        <w:rPr>
          <w:w w:val="115"/>
        </w:rPr>
        <w:t>in</w:t>
      </w:r>
      <w:r>
        <w:rPr>
          <w:spacing w:val="40"/>
          <w:w w:val="115"/>
        </w:rPr>
        <w:t> </w:t>
      </w:r>
      <w:r>
        <w:rPr>
          <w:w w:val="115"/>
        </w:rPr>
        <w:t>Spanish</w:t>
      </w:r>
      <w:r>
        <w:rPr>
          <w:spacing w:val="40"/>
          <w:w w:val="115"/>
        </w:rPr>
        <w:t> </w:t>
      </w:r>
      <w:r>
        <w:rPr>
          <w:w w:val="115"/>
        </w:rPr>
        <w:t>Language</w:t>
      </w:r>
      <w:r>
        <w:rPr>
          <w:spacing w:val="40"/>
          <w:w w:val="115"/>
        </w:rPr>
        <w:t> </w:t>
      </w:r>
      <w:r>
        <w:rPr>
          <w:w w:val="115"/>
        </w:rPr>
        <w:t>and</w:t>
      </w:r>
      <w:r>
        <w:rPr>
          <w:spacing w:val="40"/>
          <w:w w:val="115"/>
        </w:rPr>
        <w:t> </w:t>
      </w:r>
      <w:r>
        <w:rPr>
          <w:w w:val="115"/>
        </w:rPr>
        <w:t>Literature</w:t>
      </w:r>
      <w:r>
        <w:rPr>
          <w:spacing w:val="72"/>
          <w:w w:val="115"/>
        </w:rPr>
        <w:t> </w:t>
      </w:r>
      <w:r>
        <w:rPr/>
        <w:t>|</w:t>
      </w:r>
      <w:r>
        <w:rPr>
          <w:spacing w:val="72"/>
          <w:w w:val="115"/>
        </w:rPr>
        <w:t> </w:t>
      </w:r>
      <w:r>
        <w:rPr>
          <w:w w:val="115"/>
        </w:rPr>
        <w:t>Florida</w:t>
      </w:r>
      <w:r>
        <w:rPr>
          <w:spacing w:val="40"/>
          <w:w w:val="115"/>
        </w:rPr>
        <w:t> </w:t>
      </w:r>
      <w:r>
        <w:rPr>
          <w:w w:val="115"/>
        </w:rPr>
        <w:t>International</w:t>
      </w:r>
      <w:r>
        <w:rPr>
          <w:spacing w:val="40"/>
          <w:w w:val="115"/>
        </w:rPr>
        <w:t> </w:t>
      </w:r>
      <w:r>
        <w:rPr>
          <w:w w:val="115"/>
        </w:rPr>
        <w:t>University,</w:t>
      </w:r>
      <w:r>
        <w:rPr>
          <w:spacing w:val="40"/>
          <w:w w:val="115"/>
        </w:rPr>
        <w:t> </w:t>
      </w:r>
      <w:r>
        <w:rPr>
          <w:w w:val="115"/>
        </w:rPr>
        <w:t>Miami,</w:t>
      </w:r>
      <w:r>
        <w:rPr>
          <w:spacing w:val="40"/>
          <w:w w:val="115"/>
        </w:rPr>
        <w:t> </w:t>
      </w:r>
      <w:r>
        <w:rPr>
          <w:w w:val="115"/>
        </w:rPr>
        <w:t>FL</w:t>
      </w:r>
      <w:r>
        <w:rPr>
          <w:spacing w:val="40"/>
          <w:w w:val="115"/>
        </w:rPr>
        <w:t> </w:t>
      </w:r>
      <w:r>
        <w:rPr>
          <w:w w:val="115"/>
        </w:rPr>
        <w:t>May 2014</w:t>
      </w:r>
    </w:p>
    <w:p>
      <w:pPr>
        <w:pStyle w:val="BodyText"/>
        <w:ind w:firstLine="0"/>
      </w:pPr>
    </w:p>
    <w:p>
      <w:pPr>
        <w:pStyle w:val="BodyText"/>
        <w:spacing w:before="116"/>
        <w:ind w:firstLine="0"/>
      </w:pPr>
    </w:p>
    <w:p>
      <w:pPr>
        <w:pStyle w:val="Heading2"/>
      </w:pPr>
      <w:r>
        <w:rPr>
          <w:color w:val="A26E00"/>
          <w:spacing w:val="-2"/>
          <w:w w:val="105"/>
          <w:sz w:val="28"/>
        </w:rPr>
        <w:t>C</w:t>
      </w:r>
      <w:r>
        <w:rPr>
          <w:color w:val="A26E00"/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6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Certified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Bilingual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Specialist,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National</w:t>
      </w:r>
      <w:r>
        <w:rPr>
          <w:spacing w:val="40"/>
          <w:w w:val="120"/>
          <w:sz w:val="15"/>
        </w:rPr>
        <w:t> </w:t>
      </w:r>
      <w:r>
        <w:rPr>
          <w:w w:val="120"/>
          <w:sz w:val="15"/>
        </w:rPr>
        <w:t>Language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Service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Corps,</w:t>
      </w:r>
      <w:r>
        <w:rPr>
          <w:spacing w:val="39"/>
          <w:w w:val="120"/>
          <w:sz w:val="15"/>
        </w:rPr>
        <w:t> </w:t>
      </w:r>
      <w:r>
        <w:rPr>
          <w:w w:val="120"/>
          <w:sz w:val="15"/>
        </w:rPr>
        <w:t>March</w:t>
      </w:r>
      <w:r>
        <w:rPr>
          <w:spacing w:val="40"/>
          <w:w w:val="120"/>
          <w:sz w:val="15"/>
        </w:rPr>
        <w:t> </w:t>
      </w:r>
      <w:r>
        <w:rPr>
          <w:spacing w:val="-4"/>
          <w:w w:val="120"/>
          <w:sz w:val="15"/>
        </w:rPr>
        <w:t>2020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2"/>
      <w:ind w:left="154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2026-02-12T17:08:06Z</dcterms:created>
  <dcterms:modified xsi:type="dcterms:W3CDTF">2026-02-12T17:08:06Z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