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E37829"/>
          <w:spacing w:val="14"/>
          <w:sz w:val="74"/>
        </w:rPr>
        <w:t>Skyler</w:t>
      </w:r>
      <w:r>
        <w:rPr>
          <w:rFonts w:ascii="Arial"/>
          <w:b/>
          <w:color w:val="E37829"/>
          <w:spacing w:val="22"/>
          <w:sz w:val="74"/>
        </w:rPr>
        <w:t> </w:t>
      </w:r>
      <w:r>
        <w:rPr>
          <w:rFonts w:ascii="Microsoft Sans Serif"/>
          <w:color w:val="E37829"/>
          <w:spacing w:val="5"/>
          <w:sz w:val="74"/>
        </w:rPr>
        <w:t>Lewis</w:t>
      </w:r>
    </w:p>
    <w:p>
      <w:pPr>
        <w:pStyle w:val="Heading1"/>
      </w:pPr>
      <w:r>
        <w:rPr>
          <w:color w:val="E37829"/>
        </w:rPr>
        <w:t>Strategic</w:t>
      </w:r>
      <w:r>
        <w:rPr>
          <w:color w:val="E37829"/>
          <w:spacing w:val="46"/>
        </w:rPr>
        <w:t> </w:t>
      </w:r>
      <w:r>
        <w:rPr>
          <w:color w:val="E37829"/>
        </w:rPr>
        <w:t>Partnerships</w:t>
      </w:r>
      <w:r>
        <w:rPr>
          <w:color w:val="E37829"/>
          <w:spacing w:val="46"/>
        </w:rPr>
        <w:t> </w:t>
      </w:r>
      <w:r>
        <w:rPr>
          <w:color w:val="E37829"/>
          <w:spacing w:val="-2"/>
        </w:rPr>
        <w:t>Manager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(000)</w:t>
      </w:r>
      <w:r>
        <w:rPr>
          <w:spacing w:val="44"/>
          <w:w w:val="110"/>
          <w:sz w:val="13"/>
        </w:rPr>
        <w:t> </w:t>
      </w:r>
      <w:r>
        <w:rPr>
          <w:w w:val="110"/>
          <w:sz w:val="13"/>
        </w:rPr>
        <w:t>000-0000</w:t>
      </w:r>
      <w:r>
        <w:rPr>
          <w:spacing w:val="78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r>
        <w:rPr>
          <w:w w:val="110"/>
          <w:sz w:val="13"/>
        </w:rPr>
        <w:t>San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Diego,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CA</w:t>
      </w:r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9"/>
          <w:w w:val="150"/>
          <w:sz w:val="9"/>
        </w:rPr>
        <w:t> </w:t>
      </w:r>
      <w:hyperlink r:id="rId5">
        <w:r>
          <w:rPr>
            <w:spacing w:val="-2"/>
            <w:w w:val="110"/>
            <w:sz w:val="13"/>
          </w:rPr>
          <w:t>email@email.com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ind w:left="23"/>
      </w:pPr>
      <w:r>
        <w:rPr>
          <w:w w:val="120"/>
        </w:rPr>
        <w:t>Collaborative</w:t>
      </w:r>
      <w:r>
        <w:rPr>
          <w:spacing w:val="32"/>
          <w:w w:val="120"/>
        </w:rPr>
        <w:t> </w:t>
      </w:r>
      <w:r>
        <w:rPr>
          <w:w w:val="120"/>
        </w:rPr>
        <w:t>Sales</w:t>
      </w:r>
      <w:r>
        <w:rPr>
          <w:spacing w:val="33"/>
          <w:w w:val="120"/>
        </w:rPr>
        <w:t> </w:t>
      </w:r>
      <w:r>
        <w:rPr>
          <w:w w:val="120"/>
        </w:rPr>
        <w:t>Leader</w:t>
      </w:r>
      <w:r>
        <w:rPr>
          <w:spacing w:val="32"/>
          <w:w w:val="120"/>
        </w:rPr>
        <w:t> </w:t>
      </w:r>
      <w:r>
        <w:rPr>
          <w:w w:val="120"/>
        </w:rPr>
        <w:t>with</w:t>
      </w:r>
      <w:r>
        <w:rPr>
          <w:spacing w:val="33"/>
          <w:w w:val="120"/>
        </w:rPr>
        <w:t> </w:t>
      </w:r>
      <w:r>
        <w:rPr>
          <w:w w:val="120"/>
        </w:rPr>
        <w:t>7</w:t>
      </w:r>
      <w:r>
        <w:rPr>
          <w:spacing w:val="33"/>
          <w:w w:val="120"/>
        </w:rPr>
        <w:t> </w:t>
      </w:r>
      <w:r>
        <w:rPr>
          <w:w w:val="120"/>
        </w:rPr>
        <w:t>years</w:t>
      </w:r>
      <w:r>
        <w:rPr>
          <w:spacing w:val="32"/>
          <w:w w:val="120"/>
        </w:rPr>
        <w:t> </w:t>
      </w:r>
      <w:r>
        <w:rPr>
          <w:w w:val="120"/>
        </w:rPr>
        <w:t>of</w:t>
      </w:r>
      <w:r>
        <w:rPr>
          <w:spacing w:val="33"/>
          <w:w w:val="120"/>
        </w:rPr>
        <w:t> </w:t>
      </w:r>
      <w:r>
        <w:rPr>
          <w:w w:val="120"/>
        </w:rPr>
        <w:t>experience</w:t>
      </w:r>
      <w:r>
        <w:rPr>
          <w:spacing w:val="33"/>
          <w:w w:val="120"/>
        </w:rPr>
        <w:t> </w:t>
      </w:r>
      <w:r>
        <w:rPr>
          <w:w w:val="120"/>
        </w:rPr>
        <w:t>managing</w:t>
      </w:r>
      <w:r>
        <w:rPr>
          <w:spacing w:val="32"/>
          <w:w w:val="120"/>
        </w:rPr>
        <w:t> </w:t>
      </w:r>
      <w:r>
        <w:rPr>
          <w:w w:val="120"/>
        </w:rPr>
        <w:t>strategic</w:t>
      </w:r>
      <w:r>
        <w:rPr>
          <w:spacing w:val="33"/>
          <w:w w:val="120"/>
        </w:rPr>
        <w:t> </w:t>
      </w:r>
      <w:r>
        <w:rPr>
          <w:w w:val="120"/>
        </w:rPr>
        <w:t>partnerships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2"/>
          <w:w w:val="120"/>
        </w:rPr>
        <w:t> </w:t>
      </w:r>
      <w:r>
        <w:rPr>
          <w:w w:val="120"/>
        </w:rPr>
        <w:t>co-branded</w:t>
      </w:r>
      <w:r>
        <w:rPr>
          <w:spacing w:val="33"/>
          <w:w w:val="120"/>
        </w:rPr>
        <w:t> </w:t>
      </w:r>
      <w:r>
        <w:rPr>
          <w:spacing w:val="-2"/>
          <w:w w:val="120"/>
        </w:rPr>
        <w:t>initiatives</w:t>
      </w:r>
    </w:p>
    <w:p>
      <w:pPr>
        <w:pStyle w:val="BodyText"/>
        <w:spacing w:line="276" w:lineRule="auto" w:before="12"/>
        <w:ind w:left="23"/>
      </w:pP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fostering</w:t>
      </w:r>
      <w:r>
        <w:rPr>
          <w:spacing w:val="40"/>
          <w:w w:val="120"/>
        </w:rPr>
        <w:t> </w:t>
      </w:r>
      <w:r>
        <w:rPr>
          <w:w w:val="120"/>
        </w:rPr>
        <w:t>mutually</w:t>
      </w:r>
      <w:r>
        <w:rPr>
          <w:spacing w:val="40"/>
          <w:w w:val="120"/>
        </w:rPr>
        <w:t> </w:t>
      </w:r>
      <w:r>
        <w:rPr>
          <w:w w:val="120"/>
        </w:rPr>
        <w:t>beneficial</w:t>
      </w:r>
      <w:r>
        <w:rPr>
          <w:spacing w:val="40"/>
          <w:w w:val="120"/>
        </w:rPr>
        <w:t> </w:t>
      </w:r>
      <w:r>
        <w:rPr>
          <w:w w:val="120"/>
        </w:rPr>
        <w:t>business</w:t>
      </w:r>
      <w:r>
        <w:rPr>
          <w:spacing w:val="40"/>
          <w:w w:val="120"/>
        </w:rPr>
        <w:t> </w:t>
      </w:r>
      <w:r>
        <w:rPr>
          <w:w w:val="120"/>
        </w:rPr>
        <w:t>relationships,</w:t>
      </w:r>
      <w:r>
        <w:rPr>
          <w:spacing w:val="40"/>
          <w:w w:val="120"/>
        </w:rPr>
        <w:t> </w:t>
      </w:r>
      <w:r>
        <w:rPr>
          <w:w w:val="120"/>
        </w:rPr>
        <w:t>improving</w:t>
      </w:r>
      <w:r>
        <w:rPr>
          <w:spacing w:val="40"/>
          <w:w w:val="120"/>
        </w:rPr>
        <w:t> </w:t>
      </w:r>
      <w:r>
        <w:rPr>
          <w:w w:val="120"/>
        </w:rPr>
        <w:t>partner</w:t>
      </w:r>
      <w:r>
        <w:rPr>
          <w:spacing w:val="40"/>
          <w:w w:val="120"/>
        </w:rPr>
        <w:t> </w:t>
      </w:r>
      <w:r>
        <w:rPr>
          <w:w w:val="120"/>
        </w:rPr>
        <w:t>satisfaction,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aligning</w:t>
      </w:r>
      <w:r>
        <w:rPr>
          <w:spacing w:val="40"/>
          <w:w w:val="120"/>
        </w:rPr>
        <w:t> </w:t>
      </w:r>
      <w:r>
        <w:rPr>
          <w:w w:val="120"/>
        </w:rPr>
        <w:t>cross-functional stakeholders to drive revenue growth.</w:t>
      </w:r>
    </w:p>
    <w:p>
      <w:pPr>
        <w:pStyle w:val="BodyText"/>
        <w:spacing w:before="43"/>
      </w:pPr>
    </w:p>
    <w:p>
      <w:pPr>
        <w:pStyle w:val="Heading2"/>
      </w:pPr>
      <w:r>
        <w:rPr>
          <w:color w:val="E37829"/>
          <w:sz w:val="31"/>
        </w:rPr>
        <w:t>K</w:t>
      </w:r>
      <w:r>
        <w:rPr>
          <w:color w:val="E37829"/>
        </w:rPr>
        <w:t>ey</w:t>
      </w:r>
      <w:r>
        <w:rPr>
          <w:color w:val="E37829"/>
          <w:spacing w:val="4"/>
        </w:rPr>
        <w:t> </w:t>
      </w:r>
      <w:r>
        <w:rPr>
          <w:color w:val="E3782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58" w:after="0"/>
        <w:ind w:left="654" w:right="0" w:hanging="296"/>
        <w:jc w:val="left"/>
        <w:rPr>
          <w:sz w:val="15"/>
        </w:rPr>
      </w:pPr>
      <w:r>
        <w:rPr>
          <w:w w:val="125"/>
          <w:sz w:val="15"/>
        </w:rPr>
        <w:t>Strategic</w:t>
      </w:r>
      <w:r>
        <w:rPr>
          <w:spacing w:val="19"/>
          <w:w w:val="125"/>
          <w:sz w:val="15"/>
        </w:rPr>
        <w:t> </w:t>
      </w:r>
      <w:r>
        <w:rPr>
          <w:spacing w:val="-2"/>
          <w:w w:val="125"/>
          <w:sz w:val="15"/>
        </w:rPr>
        <w:t>partnerships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80" w:lineRule="auto" w:before="32" w:after="0"/>
        <w:ind w:left="655" w:right="521" w:hanging="298"/>
        <w:jc w:val="left"/>
        <w:rPr>
          <w:sz w:val="15"/>
        </w:rPr>
      </w:pPr>
      <w:r>
        <w:rPr>
          <w:spacing w:val="-2"/>
          <w:w w:val="125"/>
          <w:sz w:val="15"/>
        </w:rPr>
        <w:t>Stakeholder communication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30" w:after="0"/>
        <w:ind w:left="654" w:right="0" w:hanging="296"/>
        <w:jc w:val="left"/>
        <w:rPr>
          <w:sz w:val="15"/>
        </w:rPr>
      </w:pPr>
      <w:r>
        <w:rPr>
          <w:w w:val="125"/>
          <w:sz w:val="15"/>
        </w:rPr>
        <w:t>Revenue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58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w w:val="125"/>
          <w:sz w:val="15"/>
        </w:rPr>
        <w:t>Channel</w:t>
      </w:r>
      <w:r>
        <w:rPr>
          <w:spacing w:val="22"/>
          <w:w w:val="125"/>
          <w:sz w:val="15"/>
        </w:rPr>
        <w:t> </w:t>
      </w:r>
      <w:r>
        <w:rPr>
          <w:spacing w:val="-2"/>
          <w:w w:val="125"/>
          <w:sz w:val="15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w w:val="125"/>
          <w:sz w:val="15"/>
        </w:rPr>
        <w:t>SaaS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sales</w:t>
      </w:r>
    </w:p>
    <w:p>
      <w:pPr>
        <w:pStyle w:val="ListParagraph"/>
        <w:spacing w:after="0" w:line="328" w:lineRule="exact"/>
        <w:jc w:val="left"/>
        <w:rPr>
          <w:sz w:val="15"/>
        </w:rPr>
        <w:sectPr>
          <w:type w:val="continuous"/>
          <w:pgSz w:w="11920" w:h="16860"/>
          <w:pgMar w:top="0" w:bottom="0" w:left="850" w:right="1417"/>
          <w:cols w:num="2" w:equalWidth="0">
            <w:col w:w="2416" w:space="988"/>
            <w:col w:w="6249"/>
          </w:cols>
        </w:sectPr>
      </w:pPr>
    </w:p>
    <w:p>
      <w:pPr>
        <w:pStyle w:val="Heading2"/>
        <w:spacing w:before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1915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1915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900,0,16858,390,16858,390,12900,390,0xe" filled="true" fillcolor="#e3782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3943349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6448424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07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7277099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72.9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7829"/>
          <w:sz w:val="31"/>
        </w:rPr>
        <w:t>P</w:t>
      </w:r>
      <w:r>
        <w:rPr>
          <w:color w:val="E37829"/>
        </w:rPr>
        <w:t>rofessional</w:t>
      </w:r>
      <w:r>
        <w:rPr>
          <w:color w:val="E37829"/>
          <w:spacing w:val="41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line="276" w:lineRule="auto" w:before="257"/>
        <w:ind w:left="358" w:right="3700"/>
      </w:pPr>
      <w:r>
        <w:rPr>
          <w:w w:val="115"/>
        </w:rPr>
        <w:t>Strategic</w:t>
      </w:r>
      <w:r>
        <w:rPr>
          <w:spacing w:val="40"/>
          <w:w w:val="115"/>
        </w:rPr>
        <w:t> </w:t>
      </w:r>
      <w:r>
        <w:rPr>
          <w:w w:val="115"/>
        </w:rPr>
        <w:t>Partnerships</w:t>
      </w:r>
      <w:r>
        <w:rPr>
          <w:spacing w:val="40"/>
          <w:w w:val="115"/>
        </w:rPr>
        <w:t> </w:t>
      </w:r>
      <w:r>
        <w:rPr>
          <w:w w:val="115"/>
        </w:rPr>
        <w:t>Manager</w:t>
      </w:r>
      <w:r>
        <w:rPr>
          <w:spacing w:val="70"/>
          <w:w w:val="115"/>
        </w:rPr>
        <w:t> </w:t>
      </w:r>
      <w:r>
        <w:rPr/>
        <w:t>|</w:t>
      </w:r>
      <w:r>
        <w:rPr>
          <w:spacing w:val="70"/>
          <w:w w:val="115"/>
        </w:rPr>
        <w:t> </w:t>
      </w:r>
      <w:r>
        <w:rPr>
          <w:w w:val="115"/>
        </w:rPr>
        <w:t>WaveNet</w:t>
      </w:r>
      <w:r>
        <w:rPr>
          <w:spacing w:val="40"/>
          <w:w w:val="115"/>
        </w:rPr>
        <w:t> </w:t>
      </w:r>
      <w:r>
        <w:rPr>
          <w:w w:val="115"/>
        </w:rPr>
        <w:t>Solutions,</w:t>
      </w:r>
      <w:r>
        <w:rPr>
          <w:spacing w:val="40"/>
          <w:w w:val="115"/>
        </w:rPr>
        <w:t> </w:t>
      </w:r>
      <w:r>
        <w:rPr>
          <w:w w:val="115"/>
        </w:rPr>
        <w:t>San</w:t>
      </w:r>
      <w:r>
        <w:rPr>
          <w:spacing w:val="40"/>
          <w:w w:val="115"/>
        </w:rPr>
        <w:t> </w:t>
      </w:r>
      <w:r>
        <w:rPr>
          <w:w w:val="115"/>
        </w:rPr>
        <w:t>Diego,</w:t>
      </w:r>
      <w:r>
        <w:rPr>
          <w:spacing w:val="40"/>
          <w:w w:val="115"/>
        </w:rPr>
        <w:t> </w:t>
      </w:r>
      <w:r>
        <w:rPr>
          <w:w w:val="115"/>
        </w:rPr>
        <w:t>CA</w:t>
      </w:r>
      <w:r>
        <w:rPr>
          <w:spacing w:val="40"/>
          <w:w w:val="115"/>
        </w:rPr>
        <w:t> </w:t>
      </w:r>
      <w:r>
        <w:rPr>
          <w:w w:val="115"/>
        </w:rPr>
        <w:t>August 2020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12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enterprise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partner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accounts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a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combined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revenue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$6.5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million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Improved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partner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onboarding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time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35%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process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Collaborated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legal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sales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ops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streamline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contracts</w:t>
      </w:r>
    </w:p>
    <w:p>
      <w:pPr>
        <w:pStyle w:val="BodyText"/>
        <w:spacing w:line="254" w:lineRule="auto" w:before="167"/>
        <w:ind w:left="358" w:right="5315"/>
      </w:pPr>
      <w:r>
        <w:rPr>
          <w:w w:val="115"/>
        </w:rPr>
        <w:t>Partnership</w:t>
      </w:r>
      <w:r>
        <w:rPr>
          <w:spacing w:val="40"/>
          <w:w w:val="115"/>
        </w:rPr>
        <w:t> </w:t>
      </w:r>
      <w:r>
        <w:rPr>
          <w:w w:val="115"/>
        </w:rPr>
        <w:t>Coordinator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LumenComm,</w:t>
      </w:r>
      <w:r>
        <w:rPr>
          <w:spacing w:val="40"/>
          <w:w w:val="115"/>
        </w:rPr>
        <w:t> </w:t>
      </w:r>
      <w:r>
        <w:rPr>
          <w:w w:val="115"/>
        </w:rPr>
        <w:t>Irvine,</w:t>
      </w:r>
      <w:r>
        <w:rPr>
          <w:spacing w:val="40"/>
          <w:w w:val="115"/>
        </w:rPr>
        <w:t> </w:t>
      </w:r>
      <w:r>
        <w:rPr>
          <w:w w:val="115"/>
        </w:rPr>
        <w:t>CA</w:t>
      </w:r>
      <w:r>
        <w:rPr>
          <w:spacing w:val="40"/>
          <w:w w:val="115"/>
        </w:rPr>
        <w:t> </w:t>
      </w:r>
      <w:r>
        <w:rPr>
          <w:w w:val="115"/>
        </w:rPr>
        <w:t>July 2017 – July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Supported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national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partnerships,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contributing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a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22%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increase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recurring</w:t>
      </w:r>
      <w:r>
        <w:rPr>
          <w:spacing w:val="30"/>
          <w:w w:val="120"/>
          <w:sz w:val="15"/>
        </w:rPr>
        <w:t> </w:t>
      </w:r>
      <w:r>
        <w:rPr>
          <w:spacing w:val="-2"/>
          <w:w w:val="120"/>
          <w:sz w:val="15"/>
        </w:rPr>
        <w:t>revenue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02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Developed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content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joint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webinars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partner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training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sessions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Monitored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partner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satisfaction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reduced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churn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from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14%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19"/>
          <w:w w:val="120"/>
          <w:sz w:val="15"/>
        </w:rPr>
        <w:t> </w:t>
      </w:r>
      <w:r>
        <w:rPr>
          <w:spacing w:val="-5"/>
          <w:w w:val="120"/>
          <w:sz w:val="15"/>
        </w:rPr>
        <w:t>9%</w:t>
      </w:r>
    </w:p>
    <w:p>
      <w:pPr>
        <w:pStyle w:val="Heading2"/>
        <w:spacing w:before="193"/>
      </w:pPr>
      <w:r>
        <w:rPr>
          <w:color w:val="E37829"/>
          <w:spacing w:val="-2"/>
          <w:sz w:val="31"/>
        </w:rPr>
        <w:t>E</w:t>
      </w:r>
      <w:r>
        <w:rPr>
          <w:color w:val="E37829"/>
          <w:spacing w:val="-2"/>
        </w:rPr>
        <w:t>ducation</w:t>
      </w:r>
    </w:p>
    <w:p>
      <w:pPr>
        <w:pStyle w:val="BodyText"/>
        <w:spacing w:before="257"/>
        <w:ind w:left="358"/>
      </w:pPr>
      <w:r>
        <w:rPr>
          <w:w w:val="115"/>
        </w:rPr>
        <w:t>Bachelor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Science</w:t>
      </w:r>
      <w:r>
        <w:rPr>
          <w:spacing w:val="40"/>
          <w:w w:val="115"/>
        </w:rPr>
        <w:t> </w:t>
      </w:r>
      <w:r>
        <w:rPr>
          <w:w w:val="115"/>
        </w:rPr>
        <w:t>in</w:t>
      </w:r>
      <w:r>
        <w:rPr>
          <w:spacing w:val="40"/>
          <w:w w:val="115"/>
        </w:rPr>
        <w:t> </w:t>
      </w:r>
      <w:r>
        <w:rPr>
          <w:w w:val="115"/>
        </w:rPr>
        <w:t>Communications</w:t>
      </w:r>
      <w:r>
        <w:rPr>
          <w:spacing w:val="64"/>
          <w:w w:val="115"/>
        </w:rPr>
        <w:t> </w:t>
      </w:r>
      <w:r>
        <w:rPr/>
        <w:t>|</w:t>
      </w:r>
      <w:r>
        <w:rPr>
          <w:spacing w:val="63"/>
          <w:w w:val="115"/>
        </w:rPr>
        <w:t> </w:t>
      </w:r>
      <w:r>
        <w:rPr>
          <w:w w:val="115"/>
        </w:rPr>
        <w:t>University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California,</w:t>
      </w:r>
      <w:r>
        <w:rPr>
          <w:spacing w:val="40"/>
          <w:w w:val="115"/>
        </w:rPr>
        <w:t> </w:t>
      </w:r>
      <w:r>
        <w:rPr>
          <w:w w:val="115"/>
        </w:rPr>
        <w:t>San</w:t>
      </w:r>
      <w:r>
        <w:rPr>
          <w:spacing w:val="41"/>
          <w:w w:val="115"/>
        </w:rPr>
        <w:t> </w:t>
      </w:r>
      <w:r>
        <w:rPr>
          <w:w w:val="115"/>
        </w:rPr>
        <w:t>Diego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</w:pPr>
    </w:p>
    <w:p>
      <w:pPr>
        <w:pStyle w:val="BodyText"/>
        <w:spacing w:before="157"/>
      </w:pPr>
    </w:p>
    <w:p>
      <w:pPr>
        <w:spacing w:before="0"/>
        <w:ind w:left="154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E37829"/>
          <w:spacing w:val="-2"/>
          <w:sz w:val="31"/>
        </w:rPr>
        <w:t>R</w:t>
      </w:r>
      <w:r>
        <w:rPr>
          <w:rFonts w:ascii="Arial"/>
          <w:b/>
          <w:color w:val="E37829"/>
          <w:spacing w:val="-2"/>
          <w:sz w:val="28"/>
        </w:rPr>
        <w:t>eferences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2026-02-13T09:39:39Z</dcterms:created>
  <dcterms:modified xsi:type="dcterms:W3CDTF">2026-02-13T09:39:39Z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